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624" w:rsidRPr="00985778" w:rsidRDefault="00780624" w:rsidP="00985778">
      <w:pPr>
        <w:jc w:val="center"/>
        <w:rPr>
          <w:rFonts w:ascii="Times New Roman" w:hAnsi="Times New Roman" w:cs="Times New Roman"/>
        </w:rPr>
      </w:pPr>
    </w:p>
    <w:p w:rsidR="0098410D" w:rsidRPr="00985778" w:rsidRDefault="00780624" w:rsidP="00985778">
      <w:pPr>
        <w:pStyle w:val="DecHCase"/>
      </w:pPr>
      <w:r w:rsidRPr="00985778">
        <w:t>FIRST SECTION</w:t>
      </w:r>
    </w:p>
    <w:p w:rsidR="008E6217" w:rsidRPr="00985778" w:rsidRDefault="008E6217" w:rsidP="00985778">
      <w:pPr>
        <w:pStyle w:val="JuTitle"/>
      </w:pPr>
      <w:bookmarkStart w:id="0" w:name="To"/>
      <w:r w:rsidRPr="00985778">
        <w:rPr>
          <w:color w:val="000000" w:themeColor="text1"/>
        </w:rPr>
        <w:t xml:space="preserve">CASE OF </w:t>
      </w:r>
      <w:bookmarkEnd w:id="0"/>
      <w:r w:rsidR="00780624" w:rsidRPr="00985778">
        <w:t>MATTEO v. ITALIE</w:t>
      </w:r>
    </w:p>
    <w:p w:rsidR="00D74888" w:rsidRPr="00985778" w:rsidRDefault="008E6217" w:rsidP="00985778">
      <w:pPr>
        <w:pStyle w:val="ECHRCoverTitle4"/>
      </w:pPr>
      <w:r w:rsidRPr="00985778">
        <w:t>(</w:t>
      </w:r>
      <w:r w:rsidR="00780624" w:rsidRPr="00985778">
        <w:t>Application no.</w:t>
      </w:r>
      <w:r w:rsidRPr="00985778">
        <w:t xml:space="preserve"> </w:t>
      </w:r>
      <w:r w:rsidR="00780624" w:rsidRPr="00985778">
        <w:t>24888/03</w:t>
      </w:r>
      <w:r w:rsidRPr="00985778">
        <w:t>)</w:t>
      </w:r>
    </w:p>
    <w:p w:rsidR="0098410D" w:rsidRPr="00985778" w:rsidRDefault="0098410D" w:rsidP="00985778">
      <w:pPr>
        <w:pStyle w:val="DecHCase"/>
      </w:pPr>
    </w:p>
    <w:p w:rsidR="0098410D" w:rsidRPr="00985778" w:rsidRDefault="0098410D" w:rsidP="00985778">
      <w:pPr>
        <w:pStyle w:val="DecHCase"/>
      </w:pPr>
    </w:p>
    <w:p w:rsidR="00EE5757" w:rsidRPr="00985778" w:rsidRDefault="00EE5757" w:rsidP="00985778">
      <w:pPr>
        <w:pStyle w:val="DecHCase"/>
      </w:pPr>
    </w:p>
    <w:p w:rsidR="00EE5757" w:rsidRPr="00985778" w:rsidRDefault="00EE5757" w:rsidP="00985778">
      <w:pPr>
        <w:pStyle w:val="DecHCase"/>
      </w:pPr>
    </w:p>
    <w:p w:rsidR="00EE5757" w:rsidRPr="00985778" w:rsidRDefault="00EE5757" w:rsidP="00985778">
      <w:pPr>
        <w:pStyle w:val="DecHCase"/>
      </w:pPr>
    </w:p>
    <w:p w:rsidR="00AC4CD4" w:rsidRPr="00985778" w:rsidRDefault="00AC4CD4" w:rsidP="00985778">
      <w:pPr>
        <w:pStyle w:val="DecHCase"/>
      </w:pPr>
    </w:p>
    <w:p w:rsidR="00CC61D2" w:rsidRPr="00985778" w:rsidRDefault="0098410D" w:rsidP="00985778">
      <w:pPr>
        <w:pStyle w:val="DecHCase"/>
      </w:pPr>
      <w:r w:rsidRPr="00985778">
        <w:t>JUDGMENT</w:t>
      </w:r>
      <w:r w:rsidR="00AC4CD4" w:rsidRPr="00985778">
        <w:br/>
      </w:r>
    </w:p>
    <w:p w:rsidR="0098410D" w:rsidRPr="00985778" w:rsidRDefault="0098410D" w:rsidP="00985778">
      <w:pPr>
        <w:pStyle w:val="DecHCase"/>
      </w:pPr>
      <w:r w:rsidRPr="00985778">
        <w:t>STRASBOURG</w:t>
      </w:r>
    </w:p>
    <w:p w:rsidR="0098410D" w:rsidRPr="00985778" w:rsidRDefault="004D1D35" w:rsidP="00985778">
      <w:pPr>
        <w:pStyle w:val="DecHCase"/>
      </w:pPr>
      <w:r w:rsidRPr="00985778">
        <w:t>26 March</w:t>
      </w:r>
      <w:r w:rsidR="00780624" w:rsidRPr="00985778">
        <w:t xml:space="preserve"> 2020</w:t>
      </w:r>
    </w:p>
    <w:p w:rsidR="00AC4CD4" w:rsidRPr="00985778" w:rsidRDefault="00AC4CD4" w:rsidP="00985778">
      <w:pPr>
        <w:pStyle w:val="JuPara"/>
      </w:pPr>
    </w:p>
    <w:p w:rsidR="002422B6" w:rsidRPr="00985778" w:rsidRDefault="0098410D" w:rsidP="00985778">
      <w:pPr>
        <w:rPr>
          <w:i/>
          <w:sz w:val="22"/>
        </w:rPr>
      </w:pPr>
      <w:r w:rsidRPr="00985778">
        <w:rPr>
          <w:i/>
          <w:sz w:val="22"/>
        </w:rPr>
        <w:t xml:space="preserve">This judgment </w:t>
      </w:r>
      <w:r w:rsidR="00780624" w:rsidRPr="00985778">
        <w:rPr>
          <w:i/>
          <w:sz w:val="22"/>
        </w:rPr>
        <w:t>is final but it</w:t>
      </w:r>
      <w:r w:rsidRPr="00985778">
        <w:rPr>
          <w:i/>
          <w:sz w:val="22"/>
        </w:rPr>
        <w:t xml:space="preserve"> may be subject to editorial revision.</w:t>
      </w:r>
    </w:p>
    <w:p w:rsidR="0098410D" w:rsidRPr="00985778" w:rsidRDefault="0098410D" w:rsidP="00985778">
      <w:pPr>
        <w:sectPr w:rsidR="0098410D" w:rsidRPr="00985778" w:rsidSect="00D66471">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0098410D" w:rsidRPr="00985778" w:rsidRDefault="0098410D" w:rsidP="00985778">
      <w:pPr>
        <w:pStyle w:val="JuCase"/>
      </w:pPr>
      <w:r w:rsidRPr="00985778">
        <w:lastRenderedPageBreak/>
        <w:t xml:space="preserve">In the case of </w:t>
      </w:r>
      <w:r w:rsidR="00780624" w:rsidRPr="00985778">
        <w:t xml:space="preserve">Matteo v. </w:t>
      </w:r>
      <w:proofErr w:type="spellStart"/>
      <w:r w:rsidR="00780624" w:rsidRPr="00985778">
        <w:t>Italie</w:t>
      </w:r>
      <w:proofErr w:type="spellEnd"/>
      <w:r w:rsidRPr="00985778">
        <w:t>,</w:t>
      </w:r>
    </w:p>
    <w:p w:rsidR="009F4C8F" w:rsidRPr="00985778" w:rsidRDefault="009F4C8F" w:rsidP="00985778">
      <w:pPr>
        <w:pStyle w:val="JuPara"/>
      </w:pPr>
      <w:r w:rsidRPr="00985778">
        <w:t>The European Court of Human Rights (</w:t>
      </w:r>
      <w:r w:rsidR="00780624" w:rsidRPr="00985778">
        <w:t>First Section</w:t>
      </w:r>
      <w:r w:rsidRPr="00985778">
        <w:t xml:space="preserve">), sitting as a </w:t>
      </w:r>
      <w:r w:rsidR="00780624" w:rsidRPr="00985778">
        <w:t>Committee</w:t>
      </w:r>
      <w:r w:rsidRPr="00985778">
        <w:t xml:space="preserve"> composed </w:t>
      </w:r>
      <w:proofErr w:type="gramStart"/>
      <w:r w:rsidRPr="00985778">
        <w:t>of</w:t>
      </w:r>
      <w:proofErr w:type="gramEnd"/>
      <w:r w:rsidRPr="00985778">
        <w:t>:</w:t>
      </w:r>
    </w:p>
    <w:p w:rsidR="009F4C8F" w:rsidRPr="00985778" w:rsidRDefault="003736DD" w:rsidP="00985778">
      <w:pPr>
        <w:pStyle w:val="JuJudges"/>
      </w:pPr>
      <w:r w:rsidRPr="00985778">
        <w:tab/>
        <w:t xml:space="preserve">Tim </w:t>
      </w:r>
      <w:proofErr w:type="spellStart"/>
      <w:r w:rsidRPr="00985778">
        <w:t>Eicke</w:t>
      </w:r>
      <w:proofErr w:type="spellEnd"/>
      <w:r w:rsidRPr="00985778">
        <w:t>,</w:t>
      </w:r>
      <w:r w:rsidRPr="00985778">
        <w:rPr>
          <w:i/>
        </w:rPr>
        <w:t xml:space="preserve"> President,</w:t>
      </w:r>
      <w:r w:rsidRPr="00985778">
        <w:rPr>
          <w:i/>
        </w:rPr>
        <w:br/>
      </w:r>
      <w:r w:rsidRPr="00985778">
        <w:tab/>
        <w:t xml:space="preserve">Jovan </w:t>
      </w:r>
      <w:proofErr w:type="spellStart"/>
      <w:r w:rsidRPr="00985778">
        <w:t>Ilievski</w:t>
      </w:r>
      <w:proofErr w:type="spellEnd"/>
      <w:r w:rsidRPr="00985778">
        <w:t>,</w:t>
      </w:r>
      <w:r w:rsidRPr="00985778">
        <w:rPr>
          <w:i/>
        </w:rPr>
        <w:br/>
      </w:r>
      <w:r w:rsidRPr="00985778">
        <w:tab/>
        <w:t xml:space="preserve">Raffaele </w:t>
      </w:r>
      <w:proofErr w:type="spellStart"/>
      <w:r w:rsidRPr="00985778">
        <w:t>Sabato</w:t>
      </w:r>
      <w:proofErr w:type="spellEnd"/>
      <w:r w:rsidRPr="00985778">
        <w:t>,</w:t>
      </w:r>
      <w:r w:rsidRPr="00985778">
        <w:rPr>
          <w:i/>
        </w:rPr>
        <w:t xml:space="preserve"> judges,</w:t>
      </w:r>
      <w:r w:rsidR="009F4C8F" w:rsidRPr="00985778">
        <w:br/>
        <w:t xml:space="preserve">and </w:t>
      </w:r>
      <w:r w:rsidR="00780624" w:rsidRPr="00985778">
        <w:t xml:space="preserve">Renata </w:t>
      </w:r>
      <w:proofErr w:type="spellStart"/>
      <w:r w:rsidR="00780624" w:rsidRPr="00985778">
        <w:t>Degener</w:t>
      </w:r>
      <w:proofErr w:type="spellEnd"/>
      <w:r w:rsidR="009F4C8F" w:rsidRPr="00985778">
        <w:t xml:space="preserve">, </w:t>
      </w:r>
      <w:r w:rsidR="00780624" w:rsidRPr="00985778">
        <w:rPr>
          <w:i/>
        </w:rPr>
        <w:t xml:space="preserve">Deputy Section </w:t>
      </w:r>
      <w:r w:rsidR="00780624" w:rsidRPr="00985778">
        <w:rPr>
          <w:i/>
          <w:iCs/>
        </w:rPr>
        <w:t>Registrar</w:t>
      </w:r>
      <w:r w:rsidR="009F4C8F" w:rsidRPr="00985778">
        <w:rPr>
          <w:i/>
        </w:rPr>
        <w:t>,</w:t>
      </w:r>
    </w:p>
    <w:p w:rsidR="00780624" w:rsidRPr="00985778" w:rsidRDefault="00780624" w:rsidP="00985778">
      <w:pPr>
        <w:pStyle w:val="JuPara"/>
      </w:pPr>
      <w:bookmarkStart w:id="1" w:name="ITMARKHavingStart"/>
      <w:bookmarkEnd w:id="1"/>
      <w:r w:rsidRPr="00985778">
        <w:t xml:space="preserve">Having regard </w:t>
      </w:r>
      <w:proofErr w:type="gramStart"/>
      <w:r w:rsidRPr="00985778">
        <w:t>to</w:t>
      </w:r>
      <w:proofErr w:type="gramEnd"/>
      <w:r w:rsidRPr="00985778">
        <w:t>:</w:t>
      </w:r>
    </w:p>
    <w:p w:rsidR="00780624" w:rsidRPr="00985778" w:rsidRDefault="00780624" w:rsidP="00985778">
      <w:pPr>
        <w:pStyle w:val="JuPara"/>
      </w:pPr>
      <w:proofErr w:type="gramStart"/>
      <w:r w:rsidRPr="00985778">
        <w:t>the</w:t>
      </w:r>
      <w:proofErr w:type="gramEnd"/>
      <w:r w:rsidRPr="00985778">
        <w:t xml:space="preserve"> application against the Italian Republic lodged with the Court under Article 34 of the Convention for the Protection of Human Rights and Fundamental Freedoms (“the Convention”) by an Italian national, Mrs Maria Cristina Matteo (“the applicant”), on 3 February 2000;</w:t>
      </w:r>
    </w:p>
    <w:p w:rsidR="00780624" w:rsidRPr="00985778" w:rsidRDefault="00780624" w:rsidP="00985778">
      <w:pPr>
        <w:pStyle w:val="JuPara"/>
      </w:pPr>
      <w:proofErr w:type="gramStart"/>
      <w:r w:rsidRPr="00985778">
        <w:t>the</w:t>
      </w:r>
      <w:proofErr w:type="gramEnd"/>
      <w:r w:rsidRPr="00985778">
        <w:t xml:space="preserve"> decision to give notice of the application to the Italian Government (“the Government”);</w:t>
      </w:r>
    </w:p>
    <w:p w:rsidR="00780624" w:rsidRPr="00985778" w:rsidRDefault="00780624" w:rsidP="00985778">
      <w:pPr>
        <w:pStyle w:val="JuPara"/>
      </w:pPr>
      <w:proofErr w:type="gramStart"/>
      <w:r w:rsidRPr="00985778">
        <w:t>the</w:t>
      </w:r>
      <w:proofErr w:type="gramEnd"/>
      <w:r w:rsidRPr="00985778">
        <w:t xml:space="preserve"> parties</w:t>
      </w:r>
      <w:r w:rsidR="00985778" w:rsidRPr="00985778">
        <w:t>’</w:t>
      </w:r>
      <w:r w:rsidRPr="00985778">
        <w:t xml:space="preserve"> observations;</w:t>
      </w:r>
    </w:p>
    <w:p w:rsidR="00780624" w:rsidRPr="00985778" w:rsidRDefault="00780624" w:rsidP="00985778">
      <w:pPr>
        <w:pStyle w:val="JuPara"/>
      </w:pPr>
      <w:proofErr w:type="gramStart"/>
      <w:r w:rsidRPr="00985778">
        <w:t>the</w:t>
      </w:r>
      <w:proofErr w:type="gramEnd"/>
      <w:r w:rsidRPr="00985778">
        <w:t xml:space="preserve"> decision to reject the Government</w:t>
      </w:r>
      <w:r w:rsidR="00985778" w:rsidRPr="00985778">
        <w:t>’</w:t>
      </w:r>
      <w:r w:rsidRPr="00985778">
        <w:t>s objection to examination of the application by a Committee;</w:t>
      </w:r>
    </w:p>
    <w:p w:rsidR="009F4C8F" w:rsidRPr="00985778" w:rsidRDefault="009F4C8F" w:rsidP="00985778">
      <w:pPr>
        <w:pStyle w:val="JuPara"/>
      </w:pPr>
      <w:r w:rsidRPr="00985778">
        <w:t xml:space="preserve">Having deliberated in private on </w:t>
      </w:r>
      <w:r w:rsidR="00780624" w:rsidRPr="00985778">
        <w:t>3 March 2020</w:t>
      </w:r>
      <w:r w:rsidRPr="00985778">
        <w:t>,</w:t>
      </w:r>
    </w:p>
    <w:p w:rsidR="009F4C8F" w:rsidRPr="00985778" w:rsidRDefault="009F4C8F" w:rsidP="00985778">
      <w:pPr>
        <w:pStyle w:val="JuPara"/>
      </w:pPr>
      <w:r w:rsidRPr="00985778">
        <w:t xml:space="preserve">Delivers the following judgment, which </w:t>
      </w:r>
      <w:proofErr w:type="gramStart"/>
      <w:r w:rsidRPr="00985778">
        <w:t>was adopted</w:t>
      </w:r>
      <w:proofErr w:type="gramEnd"/>
      <w:r w:rsidRPr="00985778">
        <w:t xml:space="preserve"> on that date:</w:t>
      </w:r>
    </w:p>
    <w:p w:rsidR="00780624" w:rsidRPr="00985778" w:rsidRDefault="00780624" w:rsidP="00985778">
      <w:pPr>
        <w:pStyle w:val="JuHHead"/>
      </w:pPr>
      <w:r w:rsidRPr="00985778">
        <w:t>INTRODUCTION</w:t>
      </w:r>
    </w:p>
    <w:p w:rsidR="00780624" w:rsidRPr="00985778" w:rsidRDefault="00780624" w:rsidP="00985778">
      <w:pPr>
        <w:pStyle w:val="JuPara"/>
      </w:pPr>
      <w:r w:rsidRPr="00985778">
        <w:t>The case concerns the expropriation of the applicant</w:t>
      </w:r>
      <w:r w:rsidR="00985778" w:rsidRPr="00985778">
        <w:t>’</w:t>
      </w:r>
      <w:r w:rsidRPr="00985778">
        <w:t>s land and the length of the related domestic proceedings.</w:t>
      </w:r>
    </w:p>
    <w:p w:rsidR="00780624" w:rsidRPr="00985778" w:rsidRDefault="00780624" w:rsidP="00985778">
      <w:pPr>
        <w:pStyle w:val="JuHHead"/>
      </w:pPr>
      <w:r w:rsidRPr="00985778">
        <w:t>THE FACTS</w:t>
      </w:r>
    </w:p>
    <w:p w:rsidR="00780624" w:rsidRPr="00985778" w:rsidRDefault="00780624" w:rsidP="00985778">
      <w:pPr>
        <w:pStyle w:val="JuPara"/>
      </w:pPr>
      <w:r w:rsidRPr="00985778">
        <w:fldChar w:fldCharType="begin"/>
      </w:r>
      <w:r w:rsidRPr="00985778">
        <w:instrText xml:space="preserve"> SEQ level0 \*arabic </w:instrText>
      </w:r>
      <w:r w:rsidRPr="00985778">
        <w:fldChar w:fldCharType="separate"/>
      </w:r>
      <w:r w:rsidR="00985778" w:rsidRPr="00985778">
        <w:rPr>
          <w:noProof/>
        </w:rPr>
        <w:t>1</w:t>
      </w:r>
      <w:r w:rsidRPr="00985778">
        <w:fldChar w:fldCharType="end"/>
      </w:r>
      <w:r w:rsidRPr="00985778">
        <w:t xml:space="preserve">.  The applicant was born in 1936 and lives in </w:t>
      </w:r>
      <w:proofErr w:type="spellStart"/>
      <w:r w:rsidRPr="00985778">
        <w:t>Castelpagano</w:t>
      </w:r>
      <w:proofErr w:type="spellEnd"/>
      <w:r w:rsidRPr="00985778">
        <w:t xml:space="preserve">. The applicant </w:t>
      </w:r>
      <w:proofErr w:type="gramStart"/>
      <w:r w:rsidRPr="00985778">
        <w:t>was represented</w:t>
      </w:r>
      <w:proofErr w:type="gramEnd"/>
      <w:r w:rsidRPr="00985778">
        <w:t xml:space="preserve"> by Mr L. </w:t>
      </w:r>
      <w:proofErr w:type="spellStart"/>
      <w:r w:rsidRPr="00985778">
        <w:t>Crisci</w:t>
      </w:r>
      <w:proofErr w:type="spellEnd"/>
      <w:r w:rsidRPr="00985778">
        <w:t>, a lawyer practising in Benevento.</w:t>
      </w:r>
    </w:p>
    <w:p w:rsidR="00780624" w:rsidRPr="00985778" w:rsidRDefault="00780624" w:rsidP="00985778">
      <w:pPr>
        <w:pStyle w:val="JuPara"/>
      </w:pPr>
      <w:r w:rsidRPr="00985778">
        <w:fldChar w:fldCharType="begin"/>
      </w:r>
      <w:r w:rsidRPr="00985778">
        <w:instrText xml:space="preserve"> SEQ level0 \*arabic </w:instrText>
      </w:r>
      <w:r w:rsidRPr="00985778">
        <w:fldChar w:fldCharType="separate"/>
      </w:r>
      <w:r w:rsidR="00985778" w:rsidRPr="00985778">
        <w:rPr>
          <w:noProof/>
        </w:rPr>
        <w:t>2</w:t>
      </w:r>
      <w:r w:rsidRPr="00985778">
        <w:fldChar w:fldCharType="end"/>
      </w:r>
      <w:r w:rsidRPr="00985778">
        <w:t>.  </w:t>
      </w:r>
      <w:proofErr w:type="gramStart"/>
      <w:r w:rsidRPr="00985778">
        <w:t xml:space="preserve">The Italian Government (“the Government”) were represented by their former Agent, Ms E. </w:t>
      </w:r>
      <w:proofErr w:type="spellStart"/>
      <w:r w:rsidRPr="00985778">
        <w:t>Spatafora</w:t>
      </w:r>
      <w:proofErr w:type="spellEnd"/>
      <w:r w:rsidRPr="00985778">
        <w:t>, and their former co</w:t>
      </w:r>
      <w:r w:rsidRPr="00985778">
        <w:noBreakHyphen/>
        <w:t xml:space="preserve">Agent, Ms P. </w:t>
      </w:r>
      <w:proofErr w:type="spellStart"/>
      <w:r w:rsidRPr="00985778">
        <w:t>Accardo</w:t>
      </w:r>
      <w:proofErr w:type="spellEnd"/>
      <w:proofErr w:type="gramEnd"/>
      <w:r w:rsidRPr="00985778">
        <w:t>.</w:t>
      </w:r>
    </w:p>
    <w:p w:rsidR="00780624" w:rsidRPr="00985778" w:rsidRDefault="00780624" w:rsidP="00985778">
      <w:pPr>
        <w:pStyle w:val="JuPara"/>
      </w:pPr>
      <w:r w:rsidRPr="00985778">
        <w:fldChar w:fldCharType="begin"/>
      </w:r>
      <w:r w:rsidRPr="00985778">
        <w:instrText xml:space="preserve"> SEQ level0 \*arabic </w:instrText>
      </w:r>
      <w:r w:rsidRPr="00985778">
        <w:fldChar w:fldCharType="separate"/>
      </w:r>
      <w:r w:rsidR="00985778" w:rsidRPr="00985778">
        <w:rPr>
          <w:noProof/>
        </w:rPr>
        <w:t>3</w:t>
      </w:r>
      <w:r w:rsidRPr="00985778">
        <w:fldChar w:fldCharType="end"/>
      </w:r>
      <w:r w:rsidRPr="00985778">
        <w:t xml:space="preserve">.  The applicant was the owner of a plot of land in </w:t>
      </w:r>
      <w:proofErr w:type="spellStart"/>
      <w:r w:rsidRPr="00985778">
        <w:t>Castelpagano</w:t>
      </w:r>
      <w:proofErr w:type="spellEnd"/>
      <w:r w:rsidRPr="00985778">
        <w:t xml:space="preserve">. The land in issue </w:t>
      </w:r>
      <w:proofErr w:type="gramStart"/>
      <w:r w:rsidRPr="00985778">
        <w:t>was recorded</w:t>
      </w:r>
      <w:proofErr w:type="gramEnd"/>
      <w:r w:rsidRPr="00985778">
        <w:t xml:space="preserve"> in the land register as Folio no. 30, </w:t>
      </w:r>
      <w:r w:rsidR="00CC61D2" w:rsidRPr="00985778">
        <w:t>Parcel </w:t>
      </w:r>
      <w:r w:rsidRPr="00985778">
        <w:t>no. 365.</w:t>
      </w:r>
    </w:p>
    <w:p w:rsidR="00780624" w:rsidRPr="00985778" w:rsidRDefault="00780624" w:rsidP="00985778">
      <w:pPr>
        <w:pStyle w:val="JuPara"/>
      </w:pPr>
      <w:r w:rsidRPr="00985778">
        <w:fldChar w:fldCharType="begin"/>
      </w:r>
      <w:r w:rsidRPr="00985778">
        <w:instrText xml:space="preserve"> SEQ level0 \*arabic </w:instrText>
      </w:r>
      <w:r w:rsidRPr="00985778">
        <w:fldChar w:fldCharType="separate"/>
      </w:r>
      <w:r w:rsidR="00985778" w:rsidRPr="00985778">
        <w:rPr>
          <w:noProof/>
        </w:rPr>
        <w:t>4</w:t>
      </w:r>
      <w:r w:rsidRPr="00985778">
        <w:fldChar w:fldCharType="end"/>
      </w:r>
      <w:r w:rsidRPr="00985778">
        <w:t xml:space="preserve">.  On 6 September 1989 the Alto </w:t>
      </w:r>
      <w:proofErr w:type="spellStart"/>
      <w:r w:rsidRPr="00985778">
        <w:t>Tammaro</w:t>
      </w:r>
      <w:proofErr w:type="spellEnd"/>
      <w:r w:rsidRPr="00985778">
        <w:t xml:space="preserve"> Mountain Municipalities Authority (</w:t>
      </w:r>
      <w:proofErr w:type="spellStart"/>
      <w:r w:rsidRPr="00985778">
        <w:rPr>
          <w:i/>
        </w:rPr>
        <w:t>comunità</w:t>
      </w:r>
      <w:proofErr w:type="spellEnd"/>
      <w:r w:rsidRPr="00985778">
        <w:rPr>
          <w:i/>
        </w:rPr>
        <w:t xml:space="preserve"> </w:t>
      </w:r>
      <w:proofErr w:type="spellStart"/>
      <w:proofErr w:type="gramStart"/>
      <w:r w:rsidRPr="00985778">
        <w:rPr>
          <w:i/>
        </w:rPr>
        <w:t>montana</w:t>
      </w:r>
      <w:proofErr w:type="spellEnd"/>
      <w:proofErr w:type="gramEnd"/>
      <w:r w:rsidRPr="00985778">
        <w:rPr>
          <w:i/>
        </w:rPr>
        <w:t xml:space="preserve"> Alto </w:t>
      </w:r>
      <w:proofErr w:type="spellStart"/>
      <w:r w:rsidRPr="00985778">
        <w:rPr>
          <w:i/>
        </w:rPr>
        <w:t>Tammaro</w:t>
      </w:r>
      <w:proofErr w:type="spellEnd"/>
      <w:r w:rsidRPr="00985778">
        <w:t xml:space="preserve"> – hereinafter “the Mountain Authority”) approved a plan to construct a road on the applicant</w:t>
      </w:r>
      <w:r w:rsidR="00985778" w:rsidRPr="00985778">
        <w:t>’</w:t>
      </w:r>
      <w:r w:rsidRPr="00985778">
        <w:t>s land.</w:t>
      </w:r>
    </w:p>
    <w:bookmarkStart w:id="2" w:name="occupation"/>
    <w:p w:rsidR="00780624" w:rsidRPr="00985778" w:rsidRDefault="00780624" w:rsidP="00985778">
      <w:pPr>
        <w:pStyle w:val="JuPara"/>
      </w:pPr>
      <w:r w:rsidRPr="00985778">
        <w:fldChar w:fldCharType="begin"/>
      </w:r>
      <w:r w:rsidRPr="00985778">
        <w:instrText xml:space="preserve"> SEQ level0 \*arabic </w:instrText>
      </w:r>
      <w:r w:rsidRPr="00985778">
        <w:fldChar w:fldCharType="separate"/>
      </w:r>
      <w:r w:rsidR="00985778" w:rsidRPr="00985778">
        <w:rPr>
          <w:noProof/>
        </w:rPr>
        <w:t>5</w:t>
      </w:r>
      <w:r w:rsidRPr="00985778">
        <w:fldChar w:fldCharType="end"/>
      </w:r>
      <w:bookmarkEnd w:id="2"/>
      <w:r w:rsidRPr="00985778">
        <w:t xml:space="preserve">.  On 23 October 1989, the company T., which </w:t>
      </w:r>
      <w:proofErr w:type="gramStart"/>
      <w:r w:rsidRPr="00985778">
        <w:t>had been awarded</w:t>
      </w:r>
      <w:proofErr w:type="gramEnd"/>
      <w:r w:rsidRPr="00985778">
        <w:t xml:space="preserve"> the construction project by the Mountain Authority, took physical possession of 708 square metres of the applicant</w:t>
      </w:r>
      <w:r w:rsidR="00985778" w:rsidRPr="00985778">
        <w:t>’</w:t>
      </w:r>
      <w:r w:rsidRPr="00985778">
        <w:t>s land, having been given authorisation to do so by the applicant</w:t>
      </w:r>
      <w:r w:rsidR="00985778" w:rsidRPr="00985778">
        <w:t>’</w:t>
      </w:r>
      <w:r w:rsidRPr="00985778">
        <w:t>s husband.</w:t>
      </w:r>
    </w:p>
    <w:bookmarkStart w:id="3" w:name="formal_occupation"/>
    <w:p w:rsidR="00780624" w:rsidRPr="00985778" w:rsidRDefault="00780624" w:rsidP="00985778">
      <w:pPr>
        <w:pStyle w:val="JuPara"/>
      </w:pPr>
      <w:r w:rsidRPr="00985778">
        <w:fldChar w:fldCharType="begin"/>
      </w:r>
      <w:r w:rsidRPr="00985778">
        <w:instrText xml:space="preserve"> SEQ level0 \*arabic </w:instrText>
      </w:r>
      <w:r w:rsidRPr="00985778">
        <w:fldChar w:fldCharType="separate"/>
      </w:r>
      <w:r w:rsidR="00985778" w:rsidRPr="00985778">
        <w:rPr>
          <w:noProof/>
        </w:rPr>
        <w:t>6</w:t>
      </w:r>
      <w:r w:rsidRPr="00985778">
        <w:fldChar w:fldCharType="end"/>
      </w:r>
      <w:bookmarkEnd w:id="3"/>
      <w:r w:rsidRPr="00985778">
        <w:t>. </w:t>
      </w:r>
      <w:r w:rsidR="003736DD" w:rsidRPr="00985778">
        <w:t> </w:t>
      </w:r>
      <w:r w:rsidRPr="00985778">
        <w:t xml:space="preserve">On 10 May </w:t>
      </w:r>
      <w:proofErr w:type="gramStart"/>
      <w:r w:rsidRPr="00985778">
        <w:t>1990</w:t>
      </w:r>
      <w:proofErr w:type="gramEnd"/>
      <w:r w:rsidRPr="00985778">
        <w:t xml:space="preserve"> the </w:t>
      </w:r>
      <w:proofErr w:type="spellStart"/>
      <w:r w:rsidRPr="00985778">
        <w:t>Castelpagano</w:t>
      </w:r>
      <w:proofErr w:type="spellEnd"/>
      <w:r w:rsidRPr="00985778">
        <w:t xml:space="preserve"> Municipality issued an order formally authorising the Mountain Authority to occupy the applicant</w:t>
      </w:r>
      <w:r w:rsidR="00985778" w:rsidRPr="00985778">
        <w:t>’</w:t>
      </w:r>
      <w:r w:rsidRPr="00985778">
        <w:t>s land in order to begin the construction of the road.</w:t>
      </w:r>
    </w:p>
    <w:p w:rsidR="00780624" w:rsidRPr="00985778" w:rsidRDefault="00780624" w:rsidP="00985778">
      <w:pPr>
        <w:pStyle w:val="JuPara"/>
      </w:pPr>
      <w:r w:rsidRPr="00985778">
        <w:lastRenderedPageBreak/>
        <w:fldChar w:fldCharType="begin"/>
      </w:r>
      <w:r w:rsidRPr="00985778">
        <w:instrText xml:space="preserve"> SEQ level0 \*arabic </w:instrText>
      </w:r>
      <w:r w:rsidRPr="00985778">
        <w:fldChar w:fldCharType="separate"/>
      </w:r>
      <w:r w:rsidR="00985778" w:rsidRPr="00985778">
        <w:rPr>
          <w:noProof/>
        </w:rPr>
        <w:t>7</w:t>
      </w:r>
      <w:r w:rsidRPr="00985778">
        <w:fldChar w:fldCharType="end"/>
      </w:r>
      <w:r w:rsidRPr="00985778">
        <w:t xml:space="preserve">.  On 14 February 1992, the Mountain Authority paid the applicant an advance on the compensation payable for the expropriation </w:t>
      </w:r>
      <w:proofErr w:type="gramStart"/>
      <w:r w:rsidRPr="00985778">
        <w:t>in the amount of 1,260,000 Italian</w:t>
      </w:r>
      <w:proofErr w:type="gramEnd"/>
      <w:r w:rsidRPr="00985778">
        <w:t xml:space="preserve"> lire (ITL).</w:t>
      </w:r>
    </w:p>
    <w:p w:rsidR="00780624" w:rsidRPr="00985778" w:rsidRDefault="00780624" w:rsidP="00985778">
      <w:pPr>
        <w:pStyle w:val="JuPara"/>
      </w:pPr>
      <w:r w:rsidRPr="00985778">
        <w:rPr>
          <w:lang w:val="fr-FR"/>
        </w:rPr>
        <w:fldChar w:fldCharType="begin"/>
      </w:r>
      <w:r w:rsidRPr="00985778">
        <w:instrText xml:space="preserve"> SEQ level0 \*arabic </w:instrText>
      </w:r>
      <w:r w:rsidRPr="00985778">
        <w:rPr>
          <w:lang w:val="fr-FR"/>
        </w:rPr>
        <w:fldChar w:fldCharType="separate"/>
      </w:r>
      <w:r w:rsidR="00985778" w:rsidRPr="00985778">
        <w:rPr>
          <w:noProof/>
        </w:rPr>
        <w:t>8</w:t>
      </w:r>
      <w:r w:rsidRPr="00985778">
        <w:rPr>
          <w:lang w:val="fr-FR"/>
        </w:rPr>
        <w:fldChar w:fldCharType="end"/>
      </w:r>
      <w:r w:rsidRPr="00985778">
        <w:t xml:space="preserve">.  On 27 June </w:t>
      </w:r>
      <w:proofErr w:type="gramStart"/>
      <w:r w:rsidRPr="00985778">
        <w:rPr>
          <w:lang w:val="en-US"/>
        </w:rPr>
        <w:t>1995</w:t>
      </w:r>
      <w:proofErr w:type="gramEnd"/>
      <w:r w:rsidRPr="00985778">
        <w:t xml:space="preserve"> the </w:t>
      </w:r>
      <w:proofErr w:type="spellStart"/>
      <w:r w:rsidRPr="00985778">
        <w:t>Castelpagano</w:t>
      </w:r>
      <w:proofErr w:type="spellEnd"/>
      <w:r w:rsidRPr="00985778">
        <w:t xml:space="preserve"> Municipality issued an expropriation order in respect of the portion of the land that had been materially occupied (see paragraph </w:t>
      </w:r>
      <w:r w:rsidRPr="00985778">
        <w:fldChar w:fldCharType="begin"/>
      </w:r>
      <w:r w:rsidRPr="00985778">
        <w:instrText xml:space="preserve"> REF occupation \h </w:instrText>
      </w:r>
      <w:r w:rsidRPr="00985778">
        <w:fldChar w:fldCharType="separate"/>
      </w:r>
      <w:r w:rsidR="00985778" w:rsidRPr="00985778">
        <w:rPr>
          <w:noProof/>
        </w:rPr>
        <w:t>5</w:t>
      </w:r>
      <w:r w:rsidRPr="00985778">
        <w:fldChar w:fldCharType="end"/>
      </w:r>
      <w:r w:rsidRPr="00985778">
        <w:t xml:space="preserve"> above).</w:t>
      </w:r>
    </w:p>
    <w:p w:rsidR="00780624" w:rsidRPr="00985778" w:rsidRDefault="00780624" w:rsidP="00985778">
      <w:pPr>
        <w:pStyle w:val="JuHIRoman"/>
      </w:pPr>
      <w:r w:rsidRPr="00985778">
        <w:t>Proceedings lodged in connection with the expropriation</w:t>
      </w:r>
    </w:p>
    <w:p w:rsidR="00780624" w:rsidRPr="00985778" w:rsidRDefault="00780624" w:rsidP="00985778">
      <w:pPr>
        <w:pStyle w:val="JuPara"/>
      </w:pPr>
      <w:r w:rsidRPr="00985778">
        <w:fldChar w:fldCharType="begin"/>
      </w:r>
      <w:r w:rsidRPr="00985778">
        <w:instrText xml:space="preserve"> SEQ level0 \*arabic </w:instrText>
      </w:r>
      <w:r w:rsidRPr="00985778">
        <w:fldChar w:fldCharType="separate"/>
      </w:r>
      <w:r w:rsidR="00985778" w:rsidRPr="00985778">
        <w:rPr>
          <w:noProof/>
        </w:rPr>
        <w:t>9</w:t>
      </w:r>
      <w:r w:rsidRPr="00985778">
        <w:fldChar w:fldCharType="end"/>
      </w:r>
      <w:r w:rsidRPr="00985778">
        <w:t xml:space="preserve">.  On 14 September </w:t>
      </w:r>
      <w:proofErr w:type="gramStart"/>
      <w:r w:rsidRPr="00985778">
        <w:t>1992</w:t>
      </w:r>
      <w:proofErr w:type="gramEnd"/>
      <w:r w:rsidRPr="00985778">
        <w:t xml:space="preserve"> the applicant brought an action for damages against the Mountain Authority before the Benevento District Court. She argued that the occupation of her land had not been in accordance with the law </w:t>
      </w:r>
      <w:proofErr w:type="gramStart"/>
      <w:r w:rsidRPr="00985778">
        <w:t>on account</w:t>
      </w:r>
      <w:proofErr w:type="gramEnd"/>
      <w:r w:rsidRPr="00985778">
        <w:t xml:space="preserve"> of the fact that it had begun before the order formally authorising it had been issued (see paragraphs </w:t>
      </w:r>
      <w:r w:rsidRPr="00985778">
        <w:fldChar w:fldCharType="begin"/>
      </w:r>
      <w:r w:rsidRPr="00985778">
        <w:instrText xml:space="preserve"> REF occupation \h </w:instrText>
      </w:r>
      <w:r w:rsidRPr="00985778">
        <w:fldChar w:fldCharType="separate"/>
      </w:r>
      <w:r w:rsidR="00985778" w:rsidRPr="00985778">
        <w:rPr>
          <w:noProof/>
        </w:rPr>
        <w:t>5</w:t>
      </w:r>
      <w:r w:rsidRPr="00985778">
        <w:fldChar w:fldCharType="end"/>
      </w:r>
      <w:r w:rsidRPr="00985778">
        <w:t xml:space="preserve"> and </w:t>
      </w:r>
      <w:r w:rsidRPr="00985778">
        <w:fldChar w:fldCharType="begin"/>
      </w:r>
      <w:r w:rsidRPr="00985778">
        <w:instrText xml:space="preserve"> REF formal_occupation \h </w:instrText>
      </w:r>
      <w:r w:rsidRPr="00985778">
        <w:fldChar w:fldCharType="separate"/>
      </w:r>
      <w:r w:rsidR="00985778" w:rsidRPr="00985778">
        <w:rPr>
          <w:noProof/>
        </w:rPr>
        <w:t>6</w:t>
      </w:r>
      <w:r w:rsidRPr="00985778">
        <w:fldChar w:fldCharType="end"/>
      </w:r>
      <w:r w:rsidRPr="00985778">
        <w:t xml:space="preserve"> above). She sought an award of damages to compensate her for the loss of ownership of her property, which she contended </w:t>
      </w:r>
      <w:proofErr w:type="gramStart"/>
      <w:r w:rsidRPr="00985778">
        <w:t xml:space="preserve">had been </w:t>
      </w:r>
      <w:r w:rsidRPr="00985778">
        <w:rPr>
          <w:i/>
        </w:rPr>
        <w:t>de facto</w:t>
      </w:r>
      <w:r w:rsidRPr="00985778">
        <w:t xml:space="preserve"> transferred</w:t>
      </w:r>
      <w:proofErr w:type="gramEnd"/>
      <w:r w:rsidRPr="00985778">
        <w:t xml:space="preserve"> to the local authority. She further requested a sum for the loss in </w:t>
      </w:r>
      <w:r w:rsidRPr="00985778">
        <w:rPr>
          <w:bCs/>
        </w:rPr>
        <w:t>value</w:t>
      </w:r>
      <w:r w:rsidRPr="00985778">
        <w:t xml:space="preserve"> to the remainder her land as well as for the destruction of the crops that had been growing on it.</w:t>
      </w:r>
    </w:p>
    <w:bookmarkStart w:id="4" w:name="Judgment"/>
    <w:bookmarkStart w:id="5" w:name="Benevento_Judgment"/>
    <w:p w:rsidR="00780624" w:rsidRPr="00985778" w:rsidRDefault="00780624" w:rsidP="00985778">
      <w:pPr>
        <w:pStyle w:val="JuPara"/>
      </w:pPr>
      <w:r w:rsidRPr="00985778">
        <w:fldChar w:fldCharType="begin"/>
      </w:r>
      <w:r w:rsidRPr="00985778">
        <w:instrText xml:space="preserve"> SEQ level0 \*arabic </w:instrText>
      </w:r>
      <w:r w:rsidRPr="00985778">
        <w:fldChar w:fldCharType="separate"/>
      </w:r>
      <w:r w:rsidR="00985778" w:rsidRPr="00985778">
        <w:rPr>
          <w:noProof/>
        </w:rPr>
        <w:t>10</w:t>
      </w:r>
      <w:r w:rsidRPr="00985778">
        <w:fldChar w:fldCharType="end"/>
      </w:r>
      <w:bookmarkEnd w:id="4"/>
      <w:bookmarkEnd w:id="5"/>
      <w:r w:rsidRPr="00985778">
        <w:t>.  In a judgment of 22 December 2004, filed with the registry on 10 February 2005, the Benevento District Court found that</w:t>
      </w:r>
      <w:r w:rsidR="00EE5757" w:rsidRPr="00985778">
        <w:t xml:space="preserve"> the compulsory</w:t>
      </w:r>
      <w:r w:rsidR="00EE5757" w:rsidRPr="00985778">
        <w:noBreakHyphen/>
      </w:r>
      <w:r w:rsidRPr="00985778">
        <w:t xml:space="preserve">purchase order </w:t>
      </w:r>
      <w:proofErr w:type="gramStart"/>
      <w:r w:rsidRPr="00985778">
        <w:t>had not been issued</w:t>
      </w:r>
      <w:proofErr w:type="gramEnd"/>
      <w:r w:rsidRPr="00985778">
        <w:t xml:space="preserve"> in a timely manner. It found that the order ought to have been issued within a five-year period starting from the beginning of the occupation of the applicant</w:t>
      </w:r>
      <w:r w:rsidR="00985778" w:rsidRPr="00985778">
        <w:t>’</w:t>
      </w:r>
      <w:r w:rsidRPr="00985778">
        <w:t xml:space="preserve">s land, which the court identified as coinciding with the date the authorities took physical possession of the land on 23 October 1989 (see paragraph </w:t>
      </w:r>
      <w:r w:rsidRPr="00985778">
        <w:fldChar w:fldCharType="begin"/>
      </w:r>
      <w:r w:rsidRPr="00985778">
        <w:instrText xml:space="preserve"> REF occupation \h </w:instrText>
      </w:r>
      <w:r w:rsidRPr="00985778">
        <w:fldChar w:fldCharType="separate"/>
      </w:r>
      <w:r w:rsidR="00985778" w:rsidRPr="00985778">
        <w:rPr>
          <w:noProof/>
        </w:rPr>
        <w:t>5</w:t>
      </w:r>
      <w:r w:rsidRPr="00985778">
        <w:fldChar w:fldCharType="end"/>
      </w:r>
      <w:r w:rsidRPr="00985778">
        <w:t xml:space="preserve"> above). Accordingly, pursuant to the constructive-expropriation principle (</w:t>
      </w:r>
      <w:proofErr w:type="spellStart"/>
      <w:r w:rsidRPr="00985778">
        <w:rPr>
          <w:i/>
        </w:rPr>
        <w:t>occupazione</w:t>
      </w:r>
      <w:proofErr w:type="spellEnd"/>
      <w:r w:rsidRPr="00985778">
        <w:rPr>
          <w:i/>
        </w:rPr>
        <w:t xml:space="preserve"> </w:t>
      </w:r>
      <w:proofErr w:type="spellStart"/>
      <w:r w:rsidRPr="00985778">
        <w:rPr>
          <w:i/>
        </w:rPr>
        <w:t>appropriativa</w:t>
      </w:r>
      <w:proofErr w:type="spellEnd"/>
      <w:r w:rsidRPr="00985778">
        <w:t xml:space="preserve">), the applicants were no longer the owners of the land, which had become the property of the Mountain Authority. The court further accepted that the applicant was entitled to damages for the loss of her property but dismissed her other claims </w:t>
      </w:r>
      <w:proofErr w:type="gramStart"/>
      <w:r w:rsidRPr="00985778">
        <w:t>on account</w:t>
      </w:r>
      <w:proofErr w:type="gramEnd"/>
      <w:r w:rsidRPr="00985778">
        <w:t xml:space="preserve"> of a failure by the applicant to provide adequate supporting evidence.</w:t>
      </w:r>
    </w:p>
    <w:p w:rsidR="00780624" w:rsidRPr="00985778" w:rsidRDefault="00780624" w:rsidP="00985778">
      <w:pPr>
        <w:pStyle w:val="JuPara"/>
      </w:pPr>
      <w:r w:rsidRPr="00985778">
        <w:fldChar w:fldCharType="begin"/>
      </w:r>
      <w:r w:rsidRPr="00985778">
        <w:instrText xml:space="preserve"> SEQ level0 \*arabic </w:instrText>
      </w:r>
      <w:r w:rsidRPr="00985778">
        <w:fldChar w:fldCharType="separate"/>
      </w:r>
      <w:r w:rsidR="00985778" w:rsidRPr="00985778">
        <w:rPr>
          <w:noProof/>
        </w:rPr>
        <w:t>11</w:t>
      </w:r>
      <w:r w:rsidRPr="00985778">
        <w:fldChar w:fldCharType="end"/>
      </w:r>
      <w:r w:rsidRPr="00985778">
        <w:t>.  On 25 April 2005, the Mountain Autho</w:t>
      </w:r>
      <w:r w:rsidR="00EE5757" w:rsidRPr="00985778">
        <w:t>rity appealed against the first</w:t>
      </w:r>
      <w:r w:rsidR="00EE5757" w:rsidRPr="00985778">
        <w:noBreakHyphen/>
      </w:r>
      <w:r w:rsidRPr="00985778">
        <w:t>instance judgment to the Naples Court of Appeal.</w:t>
      </w:r>
    </w:p>
    <w:bookmarkStart w:id="6" w:name="Court_of_appeal"/>
    <w:p w:rsidR="00780624" w:rsidRPr="00985778" w:rsidRDefault="00780624" w:rsidP="00985778">
      <w:pPr>
        <w:pStyle w:val="JuPara"/>
      </w:pPr>
      <w:r w:rsidRPr="00985778">
        <w:fldChar w:fldCharType="begin"/>
      </w:r>
      <w:r w:rsidRPr="00985778">
        <w:instrText xml:space="preserve"> SEQ level0 \*arabic </w:instrText>
      </w:r>
      <w:r w:rsidRPr="00985778">
        <w:fldChar w:fldCharType="separate"/>
      </w:r>
      <w:r w:rsidR="00985778" w:rsidRPr="00985778">
        <w:rPr>
          <w:noProof/>
        </w:rPr>
        <w:t>12</w:t>
      </w:r>
      <w:r w:rsidRPr="00985778">
        <w:fldChar w:fldCharType="end"/>
      </w:r>
      <w:bookmarkEnd w:id="6"/>
      <w:r w:rsidRPr="00985778">
        <w:t>.  By a judgment of 28 March 2008, filed with the registry on 28 May 2008, the Naples Court of Appeal overturned the Benevento District Court</w:t>
      </w:r>
      <w:r w:rsidR="00985778" w:rsidRPr="00985778">
        <w:t>’</w:t>
      </w:r>
      <w:r w:rsidRPr="00985778">
        <w:t>s judgment and held that the expropriation of the applicant</w:t>
      </w:r>
      <w:r w:rsidR="00985778" w:rsidRPr="00985778">
        <w:t>’</w:t>
      </w:r>
      <w:r w:rsidRPr="00985778">
        <w:t xml:space="preserve">s land </w:t>
      </w:r>
      <w:proofErr w:type="gramStart"/>
      <w:r w:rsidRPr="00985778">
        <w:t>had been carried out</w:t>
      </w:r>
      <w:proofErr w:type="gramEnd"/>
      <w:r w:rsidRPr="00985778">
        <w:t xml:space="preserve"> in accordance with the law. The Court of Appeal found that the District Court had erred in considering that the formal expropriation order had been issued in an untimely fashion, a determination which had led the latter court conclude that the transfer of the property had occurred by means of the application of the constructive-expropriation principle. At the outset, the court made a finding to the effect that the applicant had failed to provide </w:t>
      </w:r>
      <w:r w:rsidRPr="00985778">
        <w:lastRenderedPageBreak/>
        <w:t xml:space="preserve">evidence that the duration of the period of lawful occupation in the case at hand had been set for a time-frame inferior to the five-year period prescribed by the relevant legislation in force at the time. </w:t>
      </w:r>
      <w:proofErr w:type="gramStart"/>
      <w:r w:rsidRPr="00985778">
        <w:t xml:space="preserve">The appellate court went on to note that, as it considered the occupation to have commenced on the date the authorities first took physical possession of the land in on 22 October 1989 (see paragraph </w:t>
      </w:r>
      <w:r w:rsidRPr="00985778">
        <w:fldChar w:fldCharType="begin"/>
      </w:r>
      <w:r w:rsidRPr="00985778">
        <w:instrText xml:space="preserve"> REF occupation \h </w:instrText>
      </w:r>
      <w:r w:rsidRPr="00985778">
        <w:fldChar w:fldCharType="separate"/>
      </w:r>
      <w:r w:rsidR="00985778" w:rsidRPr="00985778">
        <w:rPr>
          <w:noProof/>
        </w:rPr>
        <w:t>5</w:t>
      </w:r>
      <w:r w:rsidRPr="00985778">
        <w:fldChar w:fldCharType="end"/>
      </w:r>
      <w:r w:rsidRPr="00985778">
        <w:t xml:space="preserve"> above) – which was the date referred to by the first-instance court (see paragraph </w:t>
      </w:r>
      <w:r w:rsidRPr="00985778">
        <w:fldChar w:fldCharType="begin"/>
      </w:r>
      <w:r w:rsidRPr="00985778">
        <w:instrText xml:space="preserve"> REF Benevento_Judgment \h </w:instrText>
      </w:r>
      <w:r w:rsidRPr="00985778">
        <w:fldChar w:fldCharType="separate"/>
      </w:r>
      <w:r w:rsidR="00985778" w:rsidRPr="00985778">
        <w:rPr>
          <w:noProof/>
        </w:rPr>
        <w:t>10</w:t>
      </w:r>
      <w:r w:rsidRPr="00985778">
        <w:fldChar w:fldCharType="end"/>
      </w:r>
      <w:r w:rsidRPr="00985778">
        <w:t xml:space="preserve"> above) – the period of lawful occupation of the land should have expired on 23 October 1994.</w:t>
      </w:r>
      <w:proofErr w:type="gramEnd"/>
      <w:r w:rsidRPr="00985778">
        <w:t xml:space="preserve"> However, the court pointed out that, </w:t>
      </w:r>
      <w:proofErr w:type="gramStart"/>
      <w:r w:rsidRPr="00985778">
        <w:t>on the basis of</w:t>
      </w:r>
      <w:proofErr w:type="gramEnd"/>
      <w:r w:rsidRPr="00985778">
        <w:t xml:space="preserve"> the legislation applicable at the time, five-year lawful occupation periods were to be considered automatically extended for a further period of two years. It followed that the deadline for the issuing of an expropriation order </w:t>
      </w:r>
      <w:proofErr w:type="gramStart"/>
      <w:r w:rsidRPr="00985778">
        <w:t>had been extended</w:t>
      </w:r>
      <w:proofErr w:type="gramEnd"/>
      <w:r w:rsidRPr="00985778">
        <w:t xml:space="preserve"> until 23 October 1996. Accordingly, the court concluded that the expropriation order had been issued in a timely </w:t>
      </w:r>
      <w:proofErr w:type="gramStart"/>
      <w:r w:rsidRPr="00985778">
        <w:t>fashion, that</w:t>
      </w:r>
      <w:proofErr w:type="gramEnd"/>
      <w:r w:rsidRPr="00985778">
        <w:t xml:space="preserve"> is to say within the period of lawful occupation.</w:t>
      </w:r>
    </w:p>
    <w:p w:rsidR="00780624" w:rsidRPr="00985778" w:rsidRDefault="00780624" w:rsidP="00985778">
      <w:pPr>
        <w:pStyle w:val="JuPara"/>
      </w:pPr>
      <w:r w:rsidRPr="00985778">
        <w:fldChar w:fldCharType="begin"/>
      </w:r>
      <w:r w:rsidRPr="00985778">
        <w:instrText xml:space="preserve"> SEQ level0 \*arabic </w:instrText>
      </w:r>
      <w:r w:rsidRPr="00985778">
        <w:fldChar w:fldCharType="separate"/>
      </w:r>
      <w:r w:rsidR="00985778" w:rsidRPr="00985778">
        <w:rPr>
          <w:noProof/>
        </w:rPr>
        <w:t>13</w:t>
      </w:r>
      <w:r w:rsidRPr="00985778">
        <w:fldChar w:fldCharType="end"/>
      </w:r>
      <w:r w:rsidRPr="00985778">
        <w:t>.  The applicant did not lodge an appeal with the Court of Cassation against the judgment of the Naples Court of Appeal.</w:t>
      </w:r>
    </w:p>
    <w:p w:rsidR="00780624" w:rsidRPr="00985778" w:rsidRDefault="00780624" w:rsidP="00985778">
      <w:pPr>
        <w:pStyle w:val="JuHIRoman"/>
      </w:pPr>
      <w:r w:rsidRPr="00985778">
        <w:t>“Pinto” proceedings</w:t>
      </w:r>
    </w:p>
    <w:p w:rsidR="00780624" w:rsidRPr="00985778" w:rsidRDefault="00780624" w:rsidP="00985778">
      <w:pPr>
        <w:pStyle w:val="JuPara"/>
      </w:pPr>
      <w:r w:rsidRPr="00985778">
        <w:fldChar w:fldCharType="begin"/>
      </w:r>
      <w:r w:rsidRPr="00985778">
        <w:instrText xml:space="preserve"> SEQ level0 \*arabic </w:instrText>
      </w:r>
      <w:r w:rsidRPr="00985778">
        <w:fldChar w:fldCharType="separate"/>
      </w:r>
      <w:r w:rsidR="00985778" w:rsidRPr="00985778">
        <w:rPr>
          <w:noProof/>
        </w:rPr>
        <w:t>14</w:t>
      </w:r>
      <w:r w:rsidRPr="00985778">
        <w:fldChar w:fldCharType="end"/>
      </w:r>
      <w:r w:rsidRPr="00985778">
        <w:t xml:space="preserve">.  On 17 April </w:t>
      </w:r>
      <w:proofErr w:type="gramStart"/>
      <w:r w:rsidRPr="00985778">
        <w:t>2002</w:t>
      </w:r>
      <w:proofErr w:type="gramEnd"/>
      <w:r w:rsidRPr="00985778">
        <w:t xml:space="preserve"> the applicant lodged an application with the Rome Court of Appeal under Law no. 89 of 24 March 2001, known as the “Pinto” Act, complaining of the excessive length of the above-described proceedings. The applicant asked the court to rule that there had been a breach of Article 6 § 1 of the Convention and to order the Italian Government to pay compensation for the non-pecuniary damage sustained, which he assessed as being </w:t>
      </w:r>
      <w:r w:rsidRPr="00985778">
        <w:rPr>
          <w:color w:val="000000"/>
        </w:rPr>
        <w:t xml:space="preserve">18,550 </w:t>
      </w:r>
      <w:r w:rsidRPr="00985778">
        <w:t>EUR.</w:t>
      </w:r>
    </w:p>
    <w:bookmarkStart w:id="7" w:name="Pinto_CA"/>
    <w:p w:rsidR="00780624" w:rsidRPr="00985778" w:rsidRDefault="00780624" w:rsidP="00985778">
      <w:pPr>
        <w:pStyle w:val="JuPara"/>
      </w:pPr>
      <w:r w:rsidRPr="00985778">
        <w:fldChar w:fldCharType="begin"/>
      </w:r>
      <w:r w:rsidRPr="00985778">
        <w:instrText xml:space="preserve"> SEQ level0 \*arabic </w:instrText>
      </w:r>
      <w:r w:rsidRPr="00985778">
        <w:fldChar w:fldCharType="separate"/>
      </w:r>
      <w:r w:rsidR="00985778" w:rsidRPr="00985778">
        <w:rPr>
          <w:noProof/>
        </w:rPr>
        <w:t>15</w:t>
      </w:r>
      <w:r w:rsidRPr="00985778">
        <w:fldChar w:fldCharType="end"/>
      </w:r>
      <w:bookmarkEnd w:id="7"/>
      <w:r w:rsidRPr="00985778">
        <w:t xml:space="preserve">.  In a decision of 17 March 2003, filed with the registry on </w:t>
      </w:r>
      <w:r w:rsidR="00CC61D2" w:rsidRPr="00985778">
        <w:t xml:space="preserve">17 April </w:t>
      </w:r>
      <w:r w:rsidRPr="00985778">
        <w:t xml:space="preserve">2003, the Court of Appeal found that the reasonable time for proceedings </w:t>
      </w:r>
      <w:proofErr w:type="gramStart"/>
      <w:r w:rsidRPr="00985778">
        <w:t>had been exceeded</w:t>
      </w:r>
      <w:proofErr w:type="gramEnd"/>
      <w:r w:rsidRPr="00985778">
        <w:t>. It awarded the applicant EUR 1,400 in compensation for non-pecuniary damage and EUR 500 for costs and expenses incurred in connection with t</w:t>
      </w:r>
      <w:r w:rsidR="00EE5757" w:rsidRPr="00985778">
        <w:t>he domestic proceedings and EUR </w:t>
      </w:r>
      <w:r w:rsidRPr="00985778">
        <w:t>700 for costs and expenses incurred in connection with the proceedings before the European Court of Human Rights.</w:t>
      </w:r>
    </w:p>
    <w:p w:rsidR="00780624" w:rsidRPr="00985778" w:rsidRDefault="00780624" w:rsidP="00985778">
      <w:pPr>
        <w:pStyle w:val="JuPara"/>
      </w:pPr>
      <w:r w:rsidRPr="00985778">
        <w:fldChar w:fldCharType="begin"/>
      </w:r>
      <w:r w:rsidRPr="00985778">
        <w:instrText xml:space="preserve"> SEQ level0 \*arabic </w:instrText>
      </w:r>
      <w:r w:rsidRPr="00985778">
        <w:fldChar w:fldCharType="separate"/>
      </w:r>
      <w:r w:rsidR="00985778" w:rsidRPr="00985778">
        <w:rPr>
          <w:noProof/>
        </w:rPr>
        <w:t>16</w:t>
      </w:r>
      <w:r w:rsidRPr="00985778">
        <w:fldChar w:fldCharType="end"/>
      </w:r>
      <w:r w:rsidRPr="00985778">
        <w:t xml:space="preserve">.  The decision of the Rome Court of Appeal </w:t>
      </w:r>
      <w:proofErr w:type="gramStart"/>
      <w:r w:rsidRPr="00985778">
        <w:t>was served</w:t>
      </w:r>
      <w:proofErr w:type="gramEnd"/>
      <w:r w:rsidRPr="00985778">
        <w:t xml:space="preserve"> on the local authorities on </w:t>
      </w:r>
      <w:r w:rsidRPr="00985778">
        <w:rPr>
          <w:color w:val="000000"/>
        </w:rPr>
        <w:t xml:space="preserve">26 May 2003 </w:t>
      </w:r>
      <w:r w:rsidRPr="00985778">
        <w:t>and became final 26 July 2003.</w:t>
      </w:r>
    </w:p>
    <w:p w:rsidR="00780624" w:rsidRPr="00985778" w:rsidRDefault="00780624" w:rsidP="00985778">
      <w:pPr>
        <w:pStyle w:val="JuHHead"/>
      </w:pPr>
      <w:r w:rsidRPr="00985778">
        <w:t>RELEVANT LEGAL FRAMEWORK</w:t>
      </w:r>
    </w:p>
    <w:p w:rsidR="00780624" w:rsidRPr="00985778" w:rsidRDefault="00780624" w:rsidP="00985778">
      <w:pPr>
        <w:pStyle w:val="JuPara"/>
      </w:pPr>
      <w:r w:rsidRPr="00985778">
        <w:fldChar w:fldCharType="begin"/>
      </w:r>
      <w:r w:rsidRPr="00985778">
        <w:instrText xml:space="preserve"> SEQ level0 \*arabic </w:instrText>
      </w:r>
      <w:r w:rsidRPr="00985778">
        <w:fldChar w:fldCharType="separate"/>
      </w:r>
      <w:r w:rsidR="00985778" w:rsidRPr="00985778">
        <w:rPr>
          <w:noProof/>
        </w:rPr>
        <w:t>17</w:t>
      </w:r>
      <w:r w:rsidRPr="00985778">
        <w:fldChar w:fldCharType="end"/>
      </w:r>
      <w:r w:rsidRPr="00985778">
        <w:t xml:space="preserve">.  The domestic law and practice concerning constructive expropriation are to be found in </w:t>
      </w:r>
      <w:proofErr w:type="spellStart"/>
      <w:r w:rsidRPr="00985778">
        <w:rPr>
          <w:i/>
        </w:rPr>
        <w:t>Guiso-Gallisay</w:t>
      </w:r>
      <w:proofErr w:type="spellEnd"/>
      <w:r w:rsidRPr="00985778">
        <w:rPr>
          <w:i/>
        </w:rPr>
        <w:t xml:space="preserve"> v. Italy </w:t>
      </w:r>
      <w:r w:rsidRPr="00985778">
        <w:t>((just satisfaction) [GC], no. 58858/00, §§ 18-48, 22 December 2009).</w:t>
      </w:r>
    </w:p>
    <w:p w:rsidR="00780624" w:rsidRPr="00985778" w:rsidRDefault="00780624" w:rsidP="00985778">
      <w:pPr>
        <w:pStyle w:val="JuPara"/>
      </w:pPr>
      <w:r w:rsidRPr="00985778">
        <w:fldChar w:fldCharType="begin"/>
      </w:r>
      <w:r w:rsidRPr="00985778">
        <w:instrText xml:space="preserve"> SEQ level0 \*arabic </w:instrText>
      </w:r>
      <w:r w:rsidRPr="00985778">
        <w:fldChar w:fldCharType="separate"/>
      </w:r>
      <w:r w:rsidR="00985778" w:rsidRPr="00985778">
        <w:rPr>
          <w:noProof/>
        </w:rPr>
        <w:t>18</w:t>
      </w:r>
      <w:r w:rsidRPr="00985778">
        <w:fldChar w:fldCharType="end"/>
      </w:r>
      <w:r w:rsidRPr="00985778">
        <w:t>.  T</w:t>
      </w:r>
      <w:r w:rsidRPr="00985778">
        <w:rPr>
          <w:lang w:val="en-US"/>
        </w:rPr>
        <w:t>he domestic law and practice concerning Law no. 89 of 24 March 2001, known as the “Pinto Act”, are set out in the</w:t>
      </w:r>
      <w:r w:rsidRPr="00985778">
        <w:rPr>
          <w:i/>
        </w:rPr>
        <w:t xml:space="preserve"> </w:t>
      </w:r>
      <w:proofErr w:type="spellStart"/>
      <w:r w:rsidRPr="00985778">
        <w:rPr>
          <w:i/>
        </w:rPr>
        <w:t>Cocchiarella</w:t>
      </w:r>
      <w:proofErr w:type="spellEnd"/>
      <w:r w:rsidRPr="00985778">
        <w:rPr>
          <w:i/>
        </w:rPr>
        <w:t xml:space="preserve"> v. </w:t>
      </w:r>
      <w:r w:rsidRPr="00985778">
        <w:rPr>
          <w:i/>
          <w:iCs/>
        </w:rPr>
        <w:t xml:space="preserve">Italy </w:t>
      </w:r>
      <w:r w:rsidRPr="00985778">
        <w:rPr>
          <w:iCs/>
        </w:rPr>
        <w:t>judgment (</w:t>
      </w:r>
      <w:r w:rsidRPr="00985778">
        <w:t>[GC], no. 64886/01, §§ 23-31, ECHR 2006</w:t>
      </w:r>
      <w:r w:rsidRPr="00985778">
        <w:noBreakHyphen/>
        <w:t>V).</w:t>
      </w:r>
    </w:p>
    <w:p w:rsidR="00780624" w:rsidRPr="00985778" w:rsidRDefault="00780624" w:rsidP="00985778">
      <w:pPr>
        <w:pStyle w:val="JuHHead"/>
      </w:pPr>
      <w:r w:rsidRPr="00985778">
        <w:lastRenderedPageBreak/>
        <w:t>THE LAW</w:t>
      </w:r>
    </w:p>
    <w:p w:rsidR="00780624" w:rsidRPr="00985778" w:rsidRDefault="00780624" w:rsidP="00985778">
      <w:pPr>
        <w:pStyle w:val="JuHIRoman"/>
        <w:numPr>
          <w:ilvl w:val="1"/>
          <w:numId w:val="1"/>
        </w:numPr>
      </w:pPr>
      <w:r w:rsidRPr="00985778">
        <w:t>ALLEGED VIOLATION OF ARTICLE 1 OF PROTOCOL No. 1 TO THE CONVENTION</w:t>
      </w:r>
    </w:p>
    <w:p w:rsidR="00780624" w:rsidRPr="00985778" w:rsidRDefault="00780624" w:rsidP="00985778">
      <w:pPr>
        <w:pStyle w:val="JuPara"/>
        <w:rPr>
          <w:lang w:val="en-US"/>
        </w:rPr>
      </w:pPr>
      <w:r w:rsidRPr="00985778">
        <w:fldChar w:fldCharType="begin"/>
      </w:r>
      <w:r w:rsidRPr="00985778">
        <w:instrText xml:space="preserve"> SEQ level0 \*arabic </w:instrText>
      </w:r>
      <w:r w:rsidRPr="00985778">
        <w:fldChar w:fldCharType="separate"/>
      </w:r>
      <w:r w:rsidR="00985778" w:rsidRPr="00985778">
        <w:rPr>
          <w:noProof/>
        </w:rPr>
        <w:t>19</w:t>
      </w:r>
      <w:r w:rsidRPr="00985778">
        <w:fldChar w:fldCharType="end"/>
      </w:r>
      <w:r w:rsidRPr="00985778">
        <w:t xml:space="preserve">.  The applicant complained that she had been unlawfully deprived of her land </w:t>
      </w:r>
      <w:proofErr w:type="gramStart"/>
      <w:r w:rsidRPr="00985778">
        <w:t>on account</w:t>
      </w:r>
      <w:proofErr w:type="gramEnd"/>
      <w:r w:rsidRPr="00985778">
        <w:t xml:space="preserve"> of the application, by the domestic courts, of the constructive-expropriation principle (</w:t>
      </w:r>
      <w:proofErr w:type="spellStart"/>
      <w:r w:rsidRPr="00985778">
        <w:rPr>
          <w:i/>
        </w:rPr>
        <w:t>occupazione</w:t>
      </w:r>
      <w:proofErr w:type="spellEnd"/>
      <w:r w:rsidRPr="00985778">
        <w:rPr>
          <w:i/>
        </w:rPr>
        <w:t xml:space="preserve"> </w:t>
      </w:r>
      <w:proofErr w:type="spellStart"/>
      <w:r w:rsidRPr="00985778">
        <w:rPr>
          <w:i/>
        </w:rPr>
        <w:t>acquisitiva</w:t>
      </w:r>
      <w:proofErr w:type="spellEnd"/>
      <w:r w:rsidRPr="00985778">
        <w:t xml:space="preserve">, </w:t>
      </w:r>
      <w:proofErr w:type="spellStart"/>
      <w:r w:rsidRPr="00985778">
        <w:rPr>
          <w:i/>
        </w:rPr>
        <w:t>occupazione</w:t>
      </w:r>
      <w:proofErr w:type="spellEnd"/>
      <w:r w:rsidRPr="00985778">
        <w:rPr>
          <w:i/>
        </w:rPr>
        <w:t xml:space="preserve"> </w:t>
      </w:r>
      <w:proofErr w:type="spellStart"/>
      <w:r w:rsidRPr="00985778">
        <w:rPr>
          <w:i/>
        </w:rPr>
        <w:t>appropriativa</w:t>
      </w:r>
      <w:proofErr w:type="spellEnd"/>
      <w:r w:rsidRPr="00985778">
        <w:t xml:space="preserve"> or </w:t>
      </w:r>
      <w:proofErr w:type="spellStart"/>
      <w:r w:rsidRPr="00985778">
        <w:rPr>
          <w:i/>
        </w:rPr>
        <w:t>accessione</w:t>
      </w:r>
      <w:proofErr w:type="spellEnd"/>
      <w:r w:rsidRPr="00985778">
        <w:rPr>
          <w:i/>
        </w:rPr>
        <w:t xml:space="preserve"> </w:t>
      </w:r>
      <w:proofErr w:type="spellStart"/>
      <w:r w:rsidRPr="00985778">
        <w:rPr>
          <w:i/>
        </w:rPr>
        <w:t>invertita</w:t>
      </w:r>
      <w:proofErr w:type="spellEnd"/>
      <w:r w:rsidRPr="00985778">
        <w:t xml:space="preserve">). </w:t>
      </w:r>
      <w:r w:rsidRPr="00985778">
        <w:rPr>
          <w:lang w:val="en-US"/>
        </w:rPr>
        <w:t>She submitted that this had breached her rights under Article 1 of Protocol No. 1 to the Convention, which provides:</w:t>
      </w:r>
    </w:p>
    <w:p w:rsidR="00780624" w:rsidRPr="00985778" w:rsidRDefault="00780624" w:rsidP="00985778">
      <w:pPr>
        <w:pStyle w:val="JuQuot"/>
      </w:pPr>
      <w:r w:rsidRPr="00985778">
        <w:t xml:space="preserve">“Every natural or legal person is entitled to the peaceful enjoyment of his possessions. No one </w:t>
      </w:r>
      <w:proofErr w:type="gramStart"/>
      <w:r w:rsidRPr="00985778">
        <w:t>shall be deprived</w:t>
      </w:r>
      <w:proofErr w:type="gramEnd"/>
      <w:r w:rsidRPr="00985778">
        <w:t xml:space="preserve"> of his possessions except in the public interest and subject to the conditions provided for by law and by the general principles of international law.</w:t>
      </w:r>
    </w:p>
    <w:p w:rsidR="00780624" w:rsidRPr="00985778" w:rsidRDefault="00780624" w:rsidP="00985778">
      <w:pPr>
        <w:pStyle w:val="JuPara"/>
      </w:pPr>
      <w:r w:rsidRPr="00985778">
        <w:fldChar w:fldCharType="begin"/>
      </w:r>
      <w:r w:rsidRPr="00985778">
        <w:instrText xml:space="preserve"> SEQ level0 \*arabic </w:instrText>
      </w:r>
      <w:r w:rsidRPr="00985778">
        <w:fldChar w:fldCharType="separate"/>
      </w:r>
      <w:r w:rsidR="00985778" w:rsidRPr="00985778">
        <w:rPr>
          <w:noProof/>
        </w:rPr>
        <w:t>20</w:t>
      </w:r>
      <w:r w:rsidRPr="00985778">
        <w:fldChar w:fldCharType="end"/>
      </w:r>
      <w:r w:rsidRPr="00985778">
        <w:t>.  The Government contested that argument.</w:t>
      </w:r>
    </w:p>
    <w:p w:rsidR="00780624" w:rsidRPr="00985778" w:rsidRDefault="00780624" w:rsidP="00985778">
      <w:pPr>
        <w:pStyle w:val="JuHA"/>
        <w:numPr>
          <w:ilvl w:val="0"/>
          <w:numId w:val="0"/>
        </w:numPr>
        <w:ind w:left="584"/>
      </w:pPr>
      <w:r w:rsidRPr="00985778">
        <w:t>Admissibility</w:t>
      </w:r>
    </w:p>
    <w:p w:rsidR="00780624" w:rsidRPr="00985778" w:rsidRDefault="00780624" w:rsidP="00985778">
      <w:pPr>
        <w:pStyle w:val="JuH1"/>
      </w:pPr>
      <w:r w:rsidRPr="00985778">
        <w:t>The parties</w:t>
      </w:r>
      <w:r w:rsidR="00985778" w:rsidRPr="00985778">
        <w:t>’</w:t>
      </w:r>
      <w:r w:rsidRPr="00985778">
        <w:t xml:space="preserve"> submissions</w:t>
      </w:r>
    </w:p>
    <w:p w:rsidR="00780624" w:rsidRPr="00985778" w:rsidRDefault="00780624" w:rsidP="00985778">
      <w:pPr>
        <w:pStyle w:val="JuHa0"/>
      </w:pPr>
      <w:r w:rsidRPr="00985778">
        <w:t>The Government</w:t>
      </w:r>
    </w:p>
    <w:p w:rsidR="00780624" w:rsidRPr="00985778" w:rsidRDefault="00780624" w:rsidP="00985778">
      <w:pPr>
        <w:pStyle w:val="JuPara"/>
      </w:pPr>
      <w:r w:rsidRPr="00985778">
        <w:fldChar w:fldCharType="begin"/>
      </w:r>
      <w:r w:rsidRPr="00985778">
        <w:instrText xml:space="preserve"> SEQ level0 \*arabic </w:instrText>
      </w:r>
      <w:r w:rsidRPr="00985778">
        <w:fldChar w:fldCharType="separate"/>
      </w:r>
      <w:r w:rsidR="00985778" w:rsidRPr="00985778">
        <w:rPr>
          <w:noProof/>
        </w:rPr>
        <w:t>21</w:t>
      </w:r>
      <w:r w:rsidRPr="00985778">
        <w:fldChar w:fldCharType="end"/>
      </w:r>
      <w:r w:rsidRPr="00985778">
        <w:t xml:space="preserve">.  The Government argued that the complaint was premature as the case </w:t>
      </w:r>
      <w:proofErr w:type="gramStart"/>
      <w:r w:rsidRPr="00985778">
        <w:t>was still being examined</w:t>
      </w:r>
      <w:proofErr w:type="gramEnd"/>
      <w:r w:rsidRPr="00985778">
        <w:t xml:space="preserve"> by the domestic courts. </w:t>
      </w:r>
      <w:proofErr w:type="gramStart"/>
      <w:r w:rsidRPr="00985778">
        <w:t>They noted that an appeal had been lodged against the judgment of the Benevento District Court and the proceedings were ongoing and that the appellate court had been called upon to review the question of whether or not the expropriation had been carried out in accordance with the law, a determination upon which a finding of a violation by the Court depends.</w:t>
      </w:r>
      <w:proofErr w:type="gramEnd"/>
      <w:r w:rsidRPr="00985778">
        <w:t xml:space="preserve"> Should the Court of Appeal decide that the expropriation had been lawful, there would be no grounds on which to find a violation of the Convention.</w:t>
      </w:r>
    </w:p>
    <w:p w:rsidR="00780624" w:rsidRPr="00985778" w:rsidRDefault="00780624" w:rsidP="00985778">
      <w:pPr>
        <w:pStyle w:val="JuPara"/>
      </w:pPr>
      <w:r w:rsidRPr="00985778">
        <w:fldChar w:fldCharType="begin"/>
      </w:r>
      <w:r w:rsidRPr="00985778">
        <w:instrText xml:space="preserve"> SEQ level0 \*arabic </w:instrText>
      </w:r>
      <w:r w:rsidRPr="00985778">
        <w:fldChar w:fldCharType="separate"/>
      </w:r>
      <w:r w:rsidR="00985778" w:rsidRPr="00985778">
        <w:rPr>
          <w:noProof/>
        </w:rPr>
        <w:t>22</w:t>
      </w:r>
      <w:r w:rsidRPr="00985778">
        <w:fldChar w:fldCharType="end"/>
      </w:r>
      <w:r w:rsidRPr="00985778">
        <w:t xml:space="preserve">.  In the event that the Court decided to examine the case before the conclusion of the domestic proceedings, the Government argued that the expropriation had been lawful under domestic law and carried out in conformity with the Convention, as the expropriation order, according to the local authority, </w:t>
      </w:r>
      <w:proofErr w:type="gramStart"/>
      <w:r w:rsidRPr="00985778">
        <w:t>had been issued</w:t>
      </w:r>
      <w:proofErr w:type="gramEnd"/>
      <w:r w:rsidRPr="00985778">
        <w:t xml:space="preserve"> in a timely manner. They thus invited the Court to declare the complaint inadmissible as manifestly </w:t>
      </w:r>
      <w:proofErr w:type="gramStart"/>
      <w:r w:rsidRPr="00985778">
        <w:t>ill-founded</w:t>
      </w:r>
      <w:proofErr w:type="gramEnd"/>
      <w:r w:rsidRPr="00985778">
        <w:t>.</w:t>
      </w:r>
    </w:p>
    <w:p w:rsidR="00780624" w:rsidRPr="00985778" w:rsidRDefault="00780624" w:rsidP="00985778">
      <w:pPr>
        <w:pStyle w:val="JuPara"/>
      </w:pPr>
      <w:r w:rsidRPr="00985778">
        <w:t>If, on the contrary, the Court were to find that the expropriation had not been carried out in accordance with the law, they acknowledged the Court</w:t>
      </w:r>
      <w:r w:rsidR="00985778" w:rsidRPr="00985778">
        <w:t>’</w:t>
      </w:r>
      <w:r w:rsidRPr="00985778">
        <w:t xml:space="preserve">s well-established </w:t>
      </w:r>
      <w:proofErr w:type="gramStart"/>
      <w:r w:rsidRPr="00985778">
        <w:t>case-law</w:t>
      </w:r>
      <w:proofErr w:type="gramEnd"/>
      <w:r w:rsidRPr="00985778">
        <w:t xml:space="preserve"> concerning the </w:t>
      </w:r>
      <w:r w:rsidR="00EE5757" w:rsidRPr="00985778">
        <w:t>application of the constructive</w:t>
      </w:r>
      <w:r w:rsidR="00EE5757" w:rsidRPr="00985778">
        <w:noBreakHyphen/>
      </w:r>
      <w:r w:rsidRPr="00985778">
        <w:t>expropriation principle, referred to their observations lodged in connection with numerous cases on this subject matter, and left the matter to the Court</w:t>
      </w:r>
      <w:r w:rsidR="00985778" w:rsidRPr="00985778">
        <w:t>’</w:t>
      </w:r>
      <w:r w:rsidRPr="00985778">
        <w:t>s discretion.</w:t>
      </w:r>
    </w:p>
    <w:p w:rsidR="00780624" w:rsidRPr="00985778" w:rsidRDefault="00780624" w:rsidP="00985778">
      <w:pPr>
        <w:pStyle w:val="JuHa0"/>
      </w:pPr>
      <w:r w:rsidRPr="00985778">
        <w:lastRenderedPageBreak/>
        <w:t>The applicant</w:t>
      </w:r>
    </w:p>
    <w:p w:rsidR="00780624" w:rsidRPr="00985778" w:rsidRDefault="00780624" w:rsidP="00985778">
      <w:pPr>
        <w:pStyle w:val="JuPara"/>
      </w:pPr>
      <w:r w:rsidRPr="00985778">
        <w:fldChar w:fldCharType="begin"/>
      </w:r>
      <w:r w:rsidRPr="00985778">
        <w:instrText xml:space="preserve"> SEQ level0 \*arabic </w:instrText>
      </w:r>
      <w:r w:rsidRPr="00985778">
        <w:fldChar w:fldCharType="separate"/>
      </w:r>
      <w:r w:rsidR="00985778" w:rsidRPr="00985778">
        <w:rPr>
          <w:noProof/>
        </w:rPr>
        <w:t>23</w:t>
      </w:r>
      <w:r w:rsidRPr="00985778">
        <w:fldChar w:fldCharType="end"/>
      </w:r>
      <w:r w:rsidRPr="00985778">
        <w:t>. </w:t>
      </w:r>
      <w:r w:rsidR="00CC61D2" w:rsidRPr="00985778">
        <w:t> </w:t>
      </w:r>
      <w:r w:rsidRPr="00985778">
        <w:t xml:space="preserve">The applicant reiterated that the first-instance court had confirmed that ownership of her property </w:t>
      </w:r>
      <w:proofErr w:type="gramStart"/>
      <w:r w:rsidRPr="00985778">
        <w:t>had been transferred</w:t>
      </w:r>
      <w:proofErr w:type="gramEnd"/>
      <w:r w:rsidRPr="00985778">
        <w:t xml:space="preserve"> to the local authority via the application of the constructive-expropriation principle. She submitted that the local authority had been able to profit, in this manner, from its own unlawful conduct. In this regard, she made lengthy observations to the effect that the constructive-expropriation principle was incompatible with the principle of lawfulness and counter to Article 1 of Protocol No. 1. She highlighted that, despite the unlawfulness of the property deprivation, she had not been able to obtain the return of her land but only an award of damages. This too, in her view, had constituted a breach of Article 1 of Protocol No. 1.</w:t>
      </w:r>
    </w:p>
    <w:p w:rsidR="00780624" w:rsidRPr="00985778" w:rsidRDefault="00780624" w:rsidP="00985778">
      <w:pPr>
        <w:pStyle w:val="JuH1"/>
      </w:pPr>
      <w:r w:rsidRPr="00985778">
        <w:t>The Court</w:t>
      </w:r>
      <w:r w:rsidR="00985778" w:rsidRPr="00985778">
        <w:t>’</w:t>
      </w:r>
      <w:r w:rsidRPr="00985778">
        <w:t>s assessment</w:t>
      </w:r>
    </w:p>
    <w:p w:rsidR="00780624" w:rsidRPr="00985778" w:rsidRDefault="00780624" w:rsidP="00985778">
      <w:pPr>
        <w:pStyle w:val="JuPara"/>
      </w:pPr>
      <w:r w:rsidRPr="00985778">
        <w:fldChar w:fldCharType="begin"/>
      </w:r>
      <w:r w:rsidRPr="00985778">
        <w:instrText xml:space="preserve"> SEQ level0 \*arabic </w:instrText>
      </w:r>
      <w:r w:rsidRPr="00985778">
        <w:fldChar w:fldCharType="separate"/>
      </w:r>
      <w:r w:rsidR="00985778" w:rsidRPr="00985778">
        <w:rPr>
          <w:noProof/>
        </w:rPr>
        <w:t>24</w:t>
      </w:r>
      <w:r w:rsidRPr="00985778">
        <w:fldChar w:fldCharType="end"/>
      </w:r>
      <w:r w:rsidRPr="00985778">
        <w:t>.  The Court takes note of the Government</w:t>
      </w:r>
      <w:r w:rsidR="00985778" w:rsidRPr="00985778">
        <w:t>’</w:t>
      </w:r>
      <w:r w:rsidRPr="00985778">
        <w:t xml:space="preserve">s objection to the effect that the complaint was premature. However, in light of its conclusions in paragraph </w:t>
      </w:r>
      <w:r w:rsidRPr="00985778">
        <w:fldChar w:fldCharType="begin"/>
      </w:r>
      <w:r w:rsidRPr="00985778">
        <w:instrText xml:space="preserve"> REF Assessment \h </w:instrText>
      </w:r>
      <w:r w:rsidRPr="00985778">
        <w:fldChar w:fldCharType="separate"/>
      </w:r>
      <w:r w:rsidR="00985778" w:rsidRPr="00985778">
        <w:rPr>
          <w:noProof/>
        </w:rPr>
        <w:t>25</w:t>
      </w:r>
      <w:r w:rsidRPr="00985778">
        <w:fldChar w:fldCharType="end"/>
      </w:r>
      <w:r w:rsidRPr="00985778">
        <w:t xml:space="preserve"> below, the</w:t>
      </w:r>
      <w:r w:rsidRPr="00985778">
        <w:rPr>
          <w:lang w:val="en-US"/>
        </w:rPr>
        <w:t xml:space="preserve"> Court considers that it is not necessary </w:t>
      </w:r>
      <w:r w:rsidRPr="00985778">
        <w:t>to address that objection</w:t>
      </w:r>
      <w:r w:rsidRPr="00985778">
        <w:rPr>
          <w:lang w:val="en-US"/>
        </w:rPr>
        <w:t>.</w:t>
      </w:r>
    </w:p>
    <w:bookmarkStart w:id="8" w:name="Assessment"/>
    <w:bookmarkStart w:id="9" w:name="property_start"/>
    <w:p w:rsidR="00780624" w:rsidRPr="00985778" w:rsidRDefault="00780624" w:rsidP="00985778">
      <w:pPr>
        <w:pStyle w:val="JuPara"/>
      </w:pPr>
      <w:r w:rsidRPr="00985778">
        <w:fldChar w:fldCharType="begin"/>
      </w:r>
      <w:r w:rsidRPr="00985778">
        <w:instrText xml:space="preserve"> SEQ level0 \*arabic </w:instrText>
      </w:r>
      <w:r w:rsidRPr="00985778">
        <w:fldChar w:fldCharType="separate"/>
      </w:r>
      <w:r w:rsidR="00985778" w:rsidRPr="00985778">
        <w:rPr>
          <w:noProof/>
        </w:rPr>
        <w:t>25</w:t>
      </w:r>
      <w:r w:rsidRPr="00985778">
        <w:fldChar w:fldCharType="end"/>
      </w:r>
      <w:bookmarkEnd w:id="8"/>
      <w:bookmarkEnd w:id="9"/>
      <w:r w:rsidRPr="00985778">
        <w:t>.  The Court reiterates at the outset that the applicant</w:t>
      </w:r>
      <w:r w:rsidR="00985778" w:rsidRPr="00985778">
        <w:t>’</w:t>
      </w:r>
      <w:r w:rsidRPr="00985778">
        <w:t xml:space="preserve">s complaint hinged on the contention that she had been unlawfully deprived of her land </w:t>
      </w:r>
      <w:proofErr w:type="gramStart"/>
      <w:r w:rsidRPr="00985778">
        <w:t>on account</w:t>
      </w:r>
      <w:proofErr w:type="gramEnd"/>
      <w:r w:rsidRPr="00985778">
        <w:t xml:space="preserve"> of the application of the constructive-expropriation principle to her case. In support of her arguments, the applicant relied on the judgment of the Benevento District Court, which had made a finding to this effect (see paragraph </w:t>
      </w:r>
      <w:r w:rsidRPr="00985778">
        <w:fldChar w:fldCharType="begin"/>
      </w:r>
      <w:r w:rsidRPr="00985778">
        <w:instrText xml:space="preserve"> REF Benevento_Judgment \h </w:instrText>
      </w:r>
      <w:r w:rsidRPr="00985778">
        <w:fldChar w:fldCharType="separate"/>
      </w:r>
      <w:r w:rsidR="00985778" w:rsidRPr="00985778">
        <w:rPr>
          <w:noProof/>
        </w:rPr>
        <w:t>10</w:t>
      </w:r>
      <w:r w:rsidRPr="00985778">
        <w:fldChar w:fldCharType="end"/>
      </w:r>
      <w:r w:rsidRPr="00985778">
        <w:t xml:space="preserve"> above). </w:t>
      </w:r>
      <w:proofErr w:type="gramStart"/>
      <w:r w:rsidRPr="00985778">
        <w:t xml:space="preserve">However, the Court notes that the Benevento District Court judgment had been appealed against the Naples Court of Appeal and proceedings were pending before the latter court on 23 May 2006 when the respondent Government were notified of the case, when the Government submitted their first and second sets of observations on </w:t>
      </w:r>
      <w:r w:rsidR="001A7AE1" w:rsidRPr="00985778">
        <w:t xml:space="preserve">21 </w:t>
      </w:r>
      <w:r w:rsidRPr="00985778">
        <w:t>September 2006 and 3</w:t>
      </w:r>
      <w:r w:rsidR="001A7AE1" w:rsidRPr="00985778">
        <w:t xml:space="preserve"> </w:t>
      </w:r>
      <w:r w:rsidRPr="00985778">
        <w:t>May 2007 respectively, and when the applicant submitted her observations on 19 March 2007.</w:t>
      </w:r>
      <w:proofErr w:type="gramEnd"/>
      <w:r w:rsidRPr="00985778">
        <w:t xml:space="preserve"> The Court notes that the proceedings </w:t>
      </w:r>
      <w:proofErr w:type="gramStart"/>
      <w:r w:rsidRPr="00985778">
        <w:t>came to a conclusion</w:t>
      </w:r>
      <w:proofErr w:type="gramEnd"/>
      <w:r w:rsidRPr="00985778">
        <w:t xml:space="preserve"> on 28 May 2008, with the judgment of the Naples Court of Appeal. In that judgment, the court overturned the first-instance judgment and found that the transfer of ownership at issue had not occurred by means of constructive expropriation and </w:t>
      </w:r>
      <w:proofErr w:type="gramStart"/>
      <w:r w:rsidRPr="00985778">
        <w:t>had been, on the contrary, carried</w:t>
      </w:r>
      <w:proofErr w:type="gramEnd"/>
      <w:r w:rsidRPr="00985778">
        <w:t xml:space="preserve"> out in accordance with the law (see paragraph </w:t>
      </w:r>
      <w:r w:rsidRPr="00985778">
        <w:fldChar w:fldCharType="begin"/>
      </w:r>
      <w:r w:rsidRPr="00985778">
        <w:instrText xml:space="preserve"> REF Court_of_appeal \h </w:instrText>
      </w:r>
      <w:r w:rsidRPr="00985778">
        <w:fldChar w:fldCharType="separate"/>
      </w:r>
      <w:r w:rsidR="00985778" w:rsidRPr="00985778">
        <w:rPr>
          <w:noProof/>
        </w:rPr>
        <w:t>12</w:t>
      </w:r>
      <w:r w:rsidRPr="00985778">
        <w:fldChar w:fldCharType="end"/>
      </w:r>
      <w:r w:rsidRPr="00985778">
        <w:t xml:space="preserve"> above).  The Court further points out that, as the applicant did not lodge an appeal with the Court of Cassation, the Court of Appeal judgment was the final determination on the issue of whether or not the deprivation of the applicant</w:t>
      </w:r>
      <w:r w:rsidR="00985778" w:rsidRPr="00985778">
        <w:t>’</w:t>
      </w:r>
      <w:r w:rsidRPr="00985778">
        <w:t>s property had been lawful. Bearing in mind that it is primarily for the domestic courts to interpret the relevant domestic law, and that the decision of the Court of Appeal, based on the full knowledge of the relevant facts, does not appear arbitrary or manifestly unreasonable, the Court sees no reason to call its findings into question.</w:t>
      </w:r>
    </w:p>
    <w:bookmarkStart w:id="10" w:name="property_end"/>
    <w:p w:rsidR="00780624" w:rsidRPr="00985778" w:rsidRDefault="00780624" w:rsidP="00985778">
      <w:pPr>
        <w:pStyle w:val="JuPara"/>
      </w:pPr>
      <w:r w:rsidRPr="00985778">
        <w:lastRenderedPageBreak/>
        <w:fldChar w:fldCharType="begin"/>
      </w:r>
      <w:r w:rsidRPr="00985778">
        <w:instrText xml:space="preserve"> SEQ level0 \*arabic </w:instrText>
      </w:r>
      <w:r w:rsidRPr="00985778">
        <w:fldChar w:fldCharType="separate"/>
      </w:r>
      <w:r w:rsidR="00985778" w:rsidRPr="00985778">
        <w:rPr>
          <w:noProof/>
        </w:rPr>
        <w:t>26</w:t>
      </w:r>
      <w:r w:rsidRPr="00985778">
        <w:fldChar w:fldCharType="end"/>
      </w:r>
      <w:bookmarkEnd w:id="10"/>
      <w:r w:rsidRPr="00985778">
        <w:t xml:space="preserve">.  It follows that this complaint is manifestly </w:t>
      </w:r>
      <w:proofErr w:type="gramStart"/>
      <w:r w:rsidRPr="00985778">
        <w:t>ill-founded</w:t>
      </w:r>
      <w:proofErr w:type="gramEnd"/>
      <w:r w:rsidRPr="00985778">
        <w:t xml:space="preserve"> and must be rejected pursuant to Article 35 §§ 3 (a) and 4 of the Convention.</w:t>
      </w:r>
    </w:p>
    <w:p w:rsidR="00780624" w:rsidRPr="00985778" w:rsidRDefault="00780624" w:rsidP="00985778">
      <w:pPr>
        <w:pStyle w:val="JuHIRoman"/>
        <w:numPr>
          <w:ilvl w:val="1"/>
          <w:numId w:val="1"/>
        </w:numPr>
      </w:pPr>
      <w:r w:rsidRPr="00985778">
        <w:t>ALLEGED VIOLATION OF ARTICLE 6 § 1 OF THE CONVENTION</w:t>
      </w:r>
    </w:p>
    <w:p w:rsidR="00780624" w:rsidRPr="00985778" w:rsidRDefault="00780624" w:rsidP="00985778">
      <w:pPr>
        <w:pStyle w:val="JuPara"/>
      </w:pPr>
      <w:r w:rsidRPr="00985778">
        <w:fldChar w:fldCharType="begin"/>
      </w:r>
      <w:r w:rsidRPr="00985778">
        <w:instrText xml:space="preserve"> SEQ level0 \*arabic </w:instrText>
      </w:r>
      <w:r w:rsidRPr="00985778">
        <w:fldChar w:fldCharType="separate"/>
      </w:r>
      <w:r w:rsidR="00985778" w:rsidRPr="00985778">
        <w:rPr>
          <w:noProof/>
        </w:rPr>
        <w:t>27</w:t>
      </w:r>
      <w:r w:rsidRPr="00985778">
        <w:fldChar w:fldCharType="end"/>
      </w:r>
      <w:r w:rsidRPr="00985778">
        <w:t>.  The applicant submitted that the proceedings she had instituted seeking compensation for the interference with her property rights had failed to comply with the “reasonable time” requirement set forth in</w:t>
      </w:r>
      <w:r w:rsidR="001A7AE1" w:rsidRPr="00985778">
        <w:t xml:space="preserve"> </w:t>
      </w:r>
      <w:r w:rsidRPr="00985778">
        <w:t>Article</w:t>
      </w:r>
      <w:r w:rsidR="001A7AE1" w:rsidRPr="00985778">
        <w:t> </w:t>
      </w:r>
      <w:r w:rsidRPr="00985778">
        <w:t xml:space="preserve">6 § 1 of the Convention, and that the amount awarded by the Court of Appeal had been insufficient to redress the violation. </w:t>
      </w:r>
      <w:r w:rsidRPr="00985778">
        <w:rPr>
          <w:lang w:val="en-US"/>
        </w:rPr>
        <w:t>The relevant part of that Article reads as follows:</w:t>
      </w:r>
    </w:p>
    <w:p w:rsidR="00780624" w:rsidRPr="00985778" w:rsidRDefault="00780624" w:rsidP="00985778">
      <w:pPr>
        <w:pStyle w:val="JuQuot"/>
      </w:pPr>
      <w:r w:rsidRPr="00985778">
        <w:t>“1.</w:t>
      </w:r>
      <w:proofErr w:type="gramStart"/>
      <w:r w:rsidRPr="00985778">
        <w:t>  In</w:t>
      </w:r>
      <w:proofErr w:type="gramEnd"/>
      <w:r w:rsidRPr="00985778">
        <w:t xml:space="preserve"> the determination of his civil rights and obligations “In the determination of his civil rights and obligations ... everyone is entitled to a ... hearing within a reasonable time by [a] ... tribunal ...”</w:t>
      </w:r>
    </w:p>
    <w:p w:rsidR="00780624" w:rsidRPr="00985778" w:rsidRDefault="00780624" w:rsidP="00985778">
      <w:pPr>
        <w:pStyle w:val="JuPara"/>
      </w:pPr>
      <w:r w:rsidRPr="00985778">
        <w:fldChar w:fldCharType="begin"/>
      </w:r>
      <w:r w:rsidRPr="00985778">
        <w:instrText xml:space="preserve"> SEQ level0 \*arabic </w:instrText>
      </w:r>
      <w:r w:rsidRPr="00985778">
        <w:fldChar w:fldCharType="separate"/>
      </w:r>
      <w:r w:rsidR="00985778" w:rsidRPr="00985778">
        <w:rPr>
          <w:noProof/>
        </w:rPr>
        <w:t>28</w:t>
      </w:r>
      <w:r w:rsidRPr="00985778">
        <w:fldChar w:fldCharType="end"/>
      </w:r>
      <w:r w:rsidRPr="00985778">
        <w:t>. The Government contested that argument.</w:t>
      </w:r>
    </w:p>
    <w:p w:rsidR="00780624" w:rsidRPr="00985778" w:rsidRDefault="00780624" w:rsidP="00985778">
      <w:pPr>
        <w:pStyle w:val="JuHA"/>
        <w:numPr>
          <w:ilvl w:val="2"/>
          <w:numId w:val="1"/>
        </w:numPr>
      </w:pPr>
      <w:r w:rsidRPr="00985778">
        <w:t>Admissibility</w:t>
      </w:r>
    </w:p>
    <w:p w:rsidR="00780624" w:rsidRPr="00985778" w:rsidRDefault="00780624" w:rsidP="00985778">
      <w:pPr>
        <w:pStyle w:val="JuPara"/>
      </w:pPr>
      <w:r w:rsidRPr="00985778">
        <w:rPr>
          <w:bCs/>
        </w:rPr>
        <w:fldChar w:fldCharType="begin"/>
      </w:r>
      <w:r w:rsidRPr="00985778">
        <w:rPr>
          <w:bCs/>
        </w:rPr>
        <w:instrText xml:space="preserve"> SEQ level0 \*arabic </w:instrText>
      </w:r>
      <w:r w:rsidRPr="00985778">
        <w:rPr>
          <w:bCs/>
        </w:rPr>
        <w:fldChar w:fldCharType="separate"/>
      </w:r>
      <w:r w:rsidR="00985778" w:rsidRPr="00985778">
        <w:rPr>
          <w:bCs/>
          <w:noProof/>
        </w:rPr>
        <w:t>29</w:t>
      </w:r>
      <w:r w:rsidRPr="00985778">
        <w:rPr>
          <w:bCs/>
        </w:rPr>
        <w:fldChar w:fldCharType="end"/>
      </w:r>
      <w:r w:rsidRPr="00985778">
        <w:rPr>
          <w:bCs/>
        </w:rPr>
        <w:t>.  T</w:t>
      </w:r>
      <w:r w:rsidRPr="00985778">
        <w:t xml:space="preserve">he Government submitted that the applicant was no longer a “victim” of a violation of Article 6 § </w:t>
      </w:r>
      <w:proofErr w:type="gramStart"/>
      <w:r w:rsidRPr="00985778">
        <w:t>1</w:t>
      </w:r>
      <w:proofErr w:type="gramEnd"/>
      <w:r w:rsidRPr="00985778">
        <w:t xml:space="preserve"> because she had obtained from the Court of Appeal a finding of a violation and an amount which should be regarded as adequate.</w:t>
      </w:r>
    </w:p>
    <w:p w:rsidR="00780624" w:rsidRPr="00985778" w:rsidRDefault="00780624" w:rsidP="00985778">
      <w:pPr>
        <w:pStyle w:val="JuPara"/>
      </w:pPr>
      <w:r w:rsidRPr="00985778">
        <w:fldChar w:fldCharType="begin"/>
      </w:r>
      <w:r w:rsidRPr="00985778">
        <w:instrText xml:space="preserve"> SEQ level0 \*arabic </w:instrText>
      </w:r>
      <w:r w:rsidRPr="00985778">
        <w:fldChar w:fldCharType="separate"/>
      </w:r>
      <w:r w:rsidR="00985778" w:rsidRPr="00985778">
        <w:rPr>
          <w:noProof/>
        </w:rPr>
        <w:t>30</w:t>
      </w:r>
      <w:r w:rsidRPr="00985778">
        <w:fldChar w:fldCharType="end"/>
      </w:r>
      <w:r w:rsidRPr="00985778">
        <w:t>.  The applicant considered that she was still a “victim” of the violation complained of in that the amount that had been awarded by the Rome Court of Appeal had been insufficient.</w:t>
      </w:r>
    </w:p>
    <w:p w:rsidR="00780624" w:rsidRPr="00985778" w:rsidRDefault="00780624" w:rsidP="00985778">
      <w:pPr>
        <w:pStyle w:val="JuPara"/>
      </w:pPr>
      <w:r w:rsidRPr="00985778">
        <w:fldChar w:fldCharType="begin"/>
      </w:r>
      <w:r w:rsidRPr="00985778">
        <w:instrText xml:space="preserve"> SEQ level0 \*arabic </w:instrText>
      </w:r>
      <w:r w:rsidRPr="00985778">
        <w:fldChar w:fldCharType="separate"/>
      </w:r>
      <w:r w:rsidR="00985778" w:rsidRPr="00985778">
        <w:rPr>
          <w:noProof/>
        </w:rPr>
        <w:t>31</w:t>
      </w:r>
      <w:r w:rsidRPr="00985778">
        <w:fldChar w:fldCharType="end"/>
      </w:r>
      <w:r w:rsidRPr="00985778">
        <w:t xml:space="preserve">.  In accordance with its well-established case-law, the Court is required to verify that there has been an acknowledgment, at least in substance, by the authorities of a violation of a right protected by the Convention and whether the redress can be considered as appropriate and sufficient (see </w:t>
      </w:r>
      <w:proofErr w:type="spellStart"/>
      <w:r w:rsidRPr="00985778">
        <w:rPr>
          <w:i/>
        </w:rPr>
        <w:t>Cocchiarella</w:t>
      </w:r>
      <w:proofErr w:type="spellEnd"/>
      <w:r w:rsidRPr="00985778">
        <w:rPr>
          <w:i/>
        </w:rPr>
        <w:t xml:space="preserve"> v. </w:t>
      </w:r>
      <w:r w:rsidRPr="00985778">
        <w:rPr>
          <w:i/>
          <w:iCs/>
        </w:rPr>
        <w:t xml:space="preserve">Italy </w:t>
      </w:r>
      <w:r w:rsidR="00CC61D2" w:rsidRPr="00985778">
        <w:t>[GC], no. 64886/01, § 84, ECHR </w:t>
      </w:r>
      <w:r w:rsidRPr="00985778">
        <w:t>2006</w:t>
      </w:r>
      <w:r w:rsidRPr="00985778">
        <w:noBreakHyphen/>
        <w:t>V).</w:t>
      </w:r>
    </w:p>
    <w:p w:rsidR="00780624" w:rsidRPr="00985778" w:rsidRDefault="00780624" w:rsidP="00985778">
      <w:pPr>
        <w:pStyle w:val="JuPara"/>
      </w:pPr>
      <w:r w:rsidRPr="00985778">
        <w:fldChar w:fldCharType="begin"/>
      </w:r>
      <w:r w:rsidRPr="00985778">
        <w:instrText xml:space="preserve"> SEQ level0 \*arabic </w:instrText>
      </w:r>
      <w:r w:rsidRPr="00985778">
        <w:fldChar w:fldCharType="separate"/>
      </w:r>
      <w:r w:rsidR="00985778" w:rsidRPr="00985778">
        <w:rPr>
          <w:noProof/>
        </w:rPr>
        <w:t>32</w:t>
      </w:r>
      <w:r w:rsidRPr="00985778">
        <w:fldChar w:fldCharType="end"/>
      </w:r>
      <w:r w:rsidRPr="00985778">
        <w:t>.  The first condition, which is the finding of a violation by the national authorities, is not in issue since the Rome Court of Appeal expressly acknowledged that a violation had occurred.</w:t>
      </w:r>
    </w:p>
    <w:p w:rsidR="00780624" w:rsidRPr="00985778" w:rsidRDefault="00780624" w:rsidP="00985778">
      <w:pPr>
        <w:pStyle w:val="JuPara"/>
      </w:pPr>
      <w:r w:rsidRPr="00985778">
        <w:fldChar w:fldCharType="begin"/>
      </w:r>
      <w:r w:rsidRPr="00985778">
        <w:instrText xml:space="preserve"> SEQ level0 \*arabic </w:instrText>
      </w:r>
      <w:r w:rsidRPr="00985778">
        <w:fldChar w:fldCharType="separate"/>
      </w:r>
      <w:r w:rsidR="00985778" w:rsidRPr="00985778">
        <w:rPr>
          <w:noProof/>
        </w:rPr>
        <w:t>33</w:t>
      </w:r>
      <w:r w:rsidRPr="00985778">
        <w:fldChar w:fldCharType="end"/>
      </w:r>
      <w:r w:rsidRPr="00985778">
        <w:t xml:space="preserve">.  With regard to the second condition, the Court has indicated a number of characteristics that a domestic remedy must have in order to afford appropriate and sufficient redress (see </w:t>
      </w:r>
      <w:proofErr w:type="spellStart"/>
      <w:r w:rsidRPr="00985778">
        <w:rPr>
          <w:i/>
        </w:rPr>
        <w:t>Cocchiarella</w:t>
      </w:r>
      <w:proofErr w:type="spellEnd"/>
      <w:r w:rsidRPr="00985778">
        <w:rPr>
          <w:i/>
        </w:rPr>
        <w:t xml:space="preserve"> v. </w:t>
      </w:r>
      <w:r w:rsidRPr="00985778">
        <w:rPr>
          <w:i/>
          <w:iCs/>
        </w:rPr>
        <w:t xml:space="preserve">Italy </w:t>
      </w:r>
      <w:r w:rsidRPr="00985778">
        <w:t xml:space="preserve">[GC], cited above, §§ 86-107). In particular, in assessing the amount of compensation awarded by the court of appeal, the Court considers, </w:t>
      </w:r>
      <w:proofErr w:type="gramStart"/>
      <w:r w:rsidRPr="00985778">
        <w:t>on the basis of</w:t>
      </w:r>
      <w:proofErr w:type="gramEnd"/>
      <w:r w:rsidRPr="00985778">
        <w:t xml:space="preserve"> the material in its possession, what it would have awarded in the same position for the period taken into account by the domestic court.</w:t>
      </w:r>
    </w:p>
    <w:p w:rsidR="00780624" w:rsidRPr="00985778" w:rsidRDefault="00780624" w:rsidP="00985778">
      <w:pPr>
        <w:pStyle w:val="JuPara"/>
      </w:pPr>
      <w:r w:rsidRPr="00985778">
        <w:fldChar w:fldCharType="begin"/>
      </w:r>
      <w:r w:rsidRPr="00985778">
        <w:instrText xml:space="preserve"> SEQ level0 \*arabic </w:instrText>
      </w:r>
      <w:r w:rsidRPr="00985778">
        <w:fldChar w:fldCharType="separate"/>
      </w:r>
      <w:r w:rsidR="00985778" w:rsidRPr="00985778">
        <w:rPr>
          <w:noProof/>
        </w:rPr>
        <w:t>34</w:t>
      </w:r>
      <w:r w:rsidRPr="00985778">
        <w:fldChar w:fldCharType="end"/>
      </w:r>
      <w:r w:rsidRPr="00985778">
        <w:t xml:space="preserve">.  In the present case, in accordance with the criteria established in its </w:t>
      </w:r>
      <w:proofErr w:type="gramStart"/>
      <w:r w:rsidRPr="00985778">
        <w:t>case-law</w:t>
      </w:r>
      <w:proofErr w:type="gramEnd"/>
      <w:r w:rsidRPr="00985778">
        <w:t xml:space="preserve">, </w:t>
      </w:r>
      <w:r w:rsidRPr="00985778">
        <w:rPr>
          <w:lang w:val="en-US"/>
        </w:rPr>
        <w:t xml:space="preserve">the Court considers that the redress was insufficient (see </w:t>
      </w:r>
      <w:proofErr w:type="spellStart"/>
      <w:r w:rsidR="00CC61D2" w:rsidRPr="00985778">
        <w:rPr>
          <w:i/>
        </w:rPr>
        <w:t>Delle</w:t>
      </w:r>
      <w:proofErr w:type="spellEnd"/>
      <w:r w:rsidR="00CC61D2" w:rsidRPr="00985778">
        <w:rPr>
          <w:i/>
        </w:rPr>
        <w:t> </w:t>
      </w:r>
      <w:r w:rsidRPr="00985778">
        <w:rPr>
          <w:i/>
        </w:rPr>
        <w:t xml:space="preserve">Cave and </w:t>
      </w:r>
      <w:proofErr w:type="spellStart"/>
      <w:r w:rsidRPr="00985778">
        <w:rPr>
          <w:i/>
        </w:rPr>
        <w:t>Corrado</w:t>
      </w:r>
      <w:proofErr w:type="spellEnd"/>
      <w:r w:rsidRPr="00985778">
        <w:rPr>
          <w:i/>
        </w:rPr>
        <w:t xml:space="preserve"> v. Italy</w:t>
      </w:r>
      <w:r w:rsidRPr="00985778">
        <w:t xml:space="preserve">, no. 14626/03, § 26-31, 5 June 2007, and </w:t>
      </w:r>
      <w:proofErr w:type="spellStart"/>
      <w:r w:rsidRPr="00985778">
        <w:rPr>
          <w:i/>
        </w:rPr>
        <w:t>Cocchiarella</w:t>
      </w:r>
      <w:proofErr w:type="spellEnd"/>
      <w:r w:rsidRPr="00985778">
        <w:rPr>
          <w:i/>
        </w:rPr>
        <w:t xml:space="preserve"> v. </w:t>
      </w:r>
      <w:r w:rsidRPr="00985778">
        <w:rPr>
          <w:i/>
          <w:iCs/>
        </w:rPr>
        <w:t xml:space="preserve">Italy </w:t>
      </w:r>
      <w:r w:rsidRPr="00985778">
        <w:t>[GC], cited above, §§ 69-98</w:t>
      </w:r>
      <w:r w:rsidRPr="00985778">
        <w:rPr>
          <w:lang w:val="en-US"/>
        </w:rPr>
        <w:t>).</w:t>
      </w:r>
    </w:p>
    <w:p w:rsidR="00780624" w:rsidRPr="00985778" w:rsidRDefault="00780624" w:rsidP="00985778">
      <w:pPr>
        <w:pStyle w:val="JuPara"/>
      </w:pPr>
      <w:r w:rsidRPr="00985778">
        <w:lastRenderedPageBreak/>
        <w:fldChar w:fldCharType="begin"/>
      </w:r>
      <w:r w:rsidRPr="00985778">
        <w:instrText xml:space="preserve"> SEQ level0 \*arabic </w:instrText>
      </w:r>
      <w:r w:rsidRPr="00985778">
        <w:fldChar w:fldCharType="separate"/>
      </w:r>
      <w:r w:rsidR="00985778" w:rsidRPr="00985778">
        <w:rPr>
          <w:noProof/>
        </w:rPr>
        <w:t>35</w:t>
      </w:r>
      <w:r w:rsidRPr="00985778">
        <w:fldChar w:fldCharType="end"/>
      </w:r>
      <w:r w:rsidRPr="00985778">
        <w:t>. In the light of the foregoing, the applicant can still claim to be a “victim” within the meaning of Article 34 and the Government</w:t>
      </w:r>
      <w:r w:rsidR="00985778" w:rsidRPr="00985778">
        <w:t>’</w:t>
      </w:r>
      <w:r w:rsidRPr="00985778">
        <w:t xml:space="preserve">s preliminary objection regarding her lack of victim status </w:t>
      </w:r>
      <w:proofErr w:type="gramStart"/>
      <w:r w:rsidRPr="00985778">
        <w:t>must therefore be rejected</w:t>
      </w:r>
      <w:proofErr w:type="gramEnd"/>
      <w:r w:rsidRPr="00985778">
        <w:t>.</w:t>
      </w:r>
    </w:p>
    <w:p w:rsidR="00780624" w:rsidRPr="00985778" w:rsidRDefault="00780624" w:rsidP="00985778">
      <w:pPr>
        <w:pStyle w:val="JuPara"/>
      </w:pPr>
      <w:r w:rsidRPr="00985778">
        <w:fldChar w:fldCharType="begin"/>
      </w:r>
      <w:r w:rsidRPr="00985778">
        <w:instrText xml:space="preserve"> SEQ level0 \*arabic </w:instrText>
      </w:r>
      <w:r w:rsidRPr="00985778">
        <w:fldChar w:fldCharType="separate"/>
      </w:r>
      <w:r w:rsidR="00985778" w:rsidRPr="00985778">
        <w:rPr>
          <w:noProof/>
        </w:rPr>
        <w:t>36</w:t>
      </w:r>
      <w:r w:rsidRPr="00985778">
        <w:fldChar w:fldCharType="end"/>
      </w:r>
      <w:r w:rsidRPr="00985778">
        <w:t xml:space="preserve">.  The Court notes that the complaint is not manifestly </w:t>
      </w:r>
      <w:proofErr w:type="gramStart"/>
      <w:r w:rsidRPr="00985778">
        <w:t>ill-founded</w:t>
      </w:r>
      <w:proofErr w:type="gramEnd"/>
      <w:r w:rsidRPr="00985778">
        <w:t xml:space="preserve"> within the meaning of Article 35 § 3 (a) of the Convention. It further notes that it is </w:t>
      </w:r>
      <w:proofErr w:type="gramStart"/>
      <w:r w:rsidRPr="00985778">
        <w:t>not inadmissible</w:t>
      </w:r>
      <w:proofErr w:type="gramEnd"/>
      <w:r w:rsidRPr="00985778">
        <w:t xml:space="preserve"> on any other grounds. It </w:t>
      </w:r>
      <w:proofErr w:type="gramStart"/>
      <w:r w:rsidRPr="00985778">
        <w:t>must therefore be declared</w:t>
      </w:r>
      <w:proofErr w:type="gramEnd"/>
      <w:r w:rsidRPr="00985778">
        <w:t xml:space="preserve"> admissible.</w:t>
      </w:r>
    </w:p>
    <w:p w:rsidR="00780624" w:rsidRPr="00985778" w:rsidRDefault="00780624" w:rsidP="00985778">
      <w:pPr>
        <w:pStyle w:val="JuHA"/>
      </w:pPr>
      <w:r w:rsidRPr="00985778">
        <w:t>Merits</w:t>
      </w:r>
    </w:p>
    <w:p w:rsidR="00780624" w:rsidRPr="00985778" w:rsidRDefault="00780624" w:rsidP="00985778">
      <w:pPr>
        <w:pStyle w:val="JuPara"/>
      </w:pPr>
      <w:r w:rsidRPr="00985778">
        <w:fldChar w:fldCharType="begin"/>
      </w:r>
      <w:r w:rsidRPr="00985778">
        <w:instrText xml:space="preserve"> SEQ level0 \*arabic </w:instrText>
      </w:r>
      <w:r w:rsidRPr="00985778">
        <w:fldChar w:fldCharType="separate"/>
      </w:r>
      <w:r w:rsidR="00985778" w:rsidRPr="00985778">
        <w:rPr>
          <w:noProof/>
        </w:rPr>
        <w:t>37</w:t>
      </w:r>
      <w:r w:rsidRPr="00985778">
        <w:fldChar w:fldCharType="end"/>
      </w:r>
      <w:r w:rsidRPr="00985778">
        <w:t xml:space="preserve">. The Court notes that in the instant </w:t>
      </w:r>
      <w:proofErr w:type="gramStart"/>
      <w:r w:rsidRPr="00985778">
        <w:t>case</w:t>
      </w:r>
      <w:proofErr w:type="gramEnd"/>
      <w:r w:rsidRPr="00985778">
        <w:t xml:space="preserve"> the domestic proceedings were lodged on 12 September 1992 and, on the date the Rome Court of Appeal issued its decision on 17 March 2003, had lasted about nine years and six months for one level of jurisdiction.</w:t>
      </w:r>
    </w:p>
    <w:p w:rsidR="00780624" w:rsidRPr="00985778" w:rsidRDefault="00780624" w:rsidP="00985778">
      <w:pPr>
        <w:pStyle w:val="JuPara"/>
      </w:pPr>
      <w:r w:rsidRPr="00985778">
        <w:fldChar w:fldCharType="begin"/>
      </w:r>
      <w:r w:rsidRPr="00985778">
        <w:instrText xml:space="preserve"> SEQ level0 \*arabic </w:instrText>
      </w:r>
      <w:r w:rsidRPr="00985778">
        <w:fldChar w:fldCharType="separate"/>
      </w:r>
      <w:r w:rsidR="00985778" w:rsidRPr="00985778">
        <w:rPr>
          <w:noProof/>
        </w:rPr>
        <w:t>38</w:t>
      </w:r>
      <w:r w:rsidRPr="00985778">
        <w:fldChar w:fldCharType="end"/>
      </w:r>
      <w:r w:rsidRPr="00985778">
        <w:t xml:space="preserve">. The Court has previously examined cases raising issues similar to those in the present case and found a violation of Article 6 § 1 in that the length of the proceedings complained of did not satisfy the “reasonable-time” requirement (see, for example, </w:t>
      </w:r>
      <w:proofErr w:type="spellStart"/>
      <w:r w:rsidRPr="00985778">
        <w:rPr>
          <w:i/>
        </w:rPr>
        <w:t>Cocchiarella</w:t>
      </w:r>
      <w:proofErr w:type="spellEnd"/>
      <w:r w:rsidRPr="00985778">
        <w:rPr>
          <w:i/>
        </w:rPr>
        <w:t xml:space="preserve"> v. </w:t>
      </w:r>
      <w:r w:rsidRPr="00985778">
        <w:rPr>
          <w:i/>
          <w:iCs/>
        </w:rPr>
        <w:t>Italy</w:t>
      </w:r>
      <w:r w:rsidRPr="00985778">
        <w:rPr>
          <w:iCs/>
        </w:rPr>
        <w:t>,</w:t>
      </w:r>
      <w:r w:rsidRPr="00985778">
        <w:rPr>
          <w:i/>
          <w:iCs/>
        </w:rPr>
        <w:t xml:space="preserve"> </w:t>
      </w:r>
      <w:r w:rsidRPr="00985778">
        <w:t xml:space="preserve">cited above). The Court has examined the present case and finds that the Government have failed to advance any facts or </w:t>
      </w:r>
      <w:proofErr w:type="gramStart"/>
      <w:r w:rsidRPr="00985778">
        <w:t>arguments which</w:t>
      </w:r>
      <w:proofErr w:type="gramEnd"/>
      <w:r w:rsidRPr="00985778">
        <w:t xml:space="preserve"> would lead to any different conclusion in this instance.</w:t>
      </w:r>
    </w:p>
    <w:p w:rsidR="00761BAF" w:rsidRPr="00985778" w:rsidRDefault="00780624" w:rsidP="00985778">
      <w:pPr>
        <w:pStyle w:val="JuPara"/>
      </w:pPr>
      <w:r w:rsidRPr="00985778">
        <w:fldChar w:fldCharType="begin"/>
      </w:r>
      <w:r w:rsidRPr="00985778">
        <w:instrText xml:space="preserve"> SEQ level0 \*arabic </w:instrText>
      </w:r>
      <w:r w:rsidRPr="00985778">
        <w:fldChar w:fldCharType="separate"/>
      </w:r>
      <w:r w:rsidR="00985778" w:rsidRPr="00985778">
        <w:rPr>
          <w:noProof/>
        </w:rPr>
        <w:t>39</w:t>
      </w:r>
      <w:r w:rsidRPr="00985778">
        <w:fldChar w:fldCharType="end"/>
      </w:r>
      <w:r w:rsidRPr="00985778">
        <w:t xml:space="preserve">.  There has accordingly been a violation of Article 6 § </w:t>
      </w:r>
      <w:proofErr w:type="gramStart"/>
      <w:r w:rsidRPr="00985778">
        <w:t>1</w:t>
      </w:r>
      <w:proofErr w:type="gramEnd"/>
      <w:r w:rsidRPr="00985778">
        <w:t xml:space="preserve"> of the Convention.</w:t>
      </w:r>
    </w:p>
    <w:p w:rsidR="00780624" w:rsidRPr="00985778" w:rsidRDefault="005219FF" w:rsidP="00985778">
      <w:pPr>
        <w:pStyle w:val="JuHIRoman"/>
        <w:numPr>
          <w:ilvl w:val="1"/>
          <w:numId w:val="1"/>
        </w:numPr>
      </w:pPr>
      <w:r w:rsidRPr="00985778">
        <w:t xml:space="preserve">APPLICATION OF ARTICLE </w:t>
      </w:r>
      <w:r w:rsidR="00780624" w:rsidRPr="00985778">
        <w:t>41 OF THE CONVENTION</w:t>
      </w:r>
    </w:p>
    <w:p w:rsidR="00780624" w:rsidRPr="00985778" w:rsidRDefault="00780624" w:rsidP="00985778">
      <w:pPr>
        <w:pStyle w:val="JuPara"/>
      </w:pPr>
      <w:r w:rsidRPr="00985778">
        <w:fldChar w:fldCharType="begin"/>
      </w:r>
      <w:r w:rsidRPr="00985778">
        <w:instrText xml:space="preserve"> SEQ level0 \*arabic </w:instrText>
      </w:r>
      <w:r w:rsidRPr="00985778">
        <w:fldChar w:fldCharType="separate"/>
      </w:r>
      <w:r w:rsidR="00985778" w:rsidRPr="00985778">
        <w:rPr>
          <w:noProof/>
        </w:rPr>
        <w:t>40</w:t>
      </w:r>
      <w:r w:rsidRPr="00985778">
        <w:fldChar w:fldCharType="end"/>
      </w:r>
      <w:r w:rsidRPr="00985778">
        <w:t>.  Article 41 of the Convention provides:</w:t>
      </w:r>
    </w:p>
    <w:p w:rsidR="00780624" w:rsidRPr="00985778" w:rsidRDefault="00780624" w:rsidP="00985778">
      <w:pPr>
        <w:pStyle w:val="JuQuot"/>
      </w:pPr>
      <w:r w:rsidRPr="00985778">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780624" w:rsidRPr="00985778" w:rsidRDefault="00780624" w:rsidP="00985778">
      <w:pPr>
        <w:pStyle w:val="JuHA"/>
        <w:numPr>
          <w:ilvl w:val="2"/>
          <w:numId w:val="1"/>
        </w:numPr>
      </w:pPr>
      <w:r w:rsidRPr="00985778">
        <w:t>Non –pecuniary damage</w:t>
      </w:r>
    </w:p>
    <w:p w:rsidR="00780624" w:rsidRPr="00985778" w:rsidRDefault="00780624" w:rsidP="00985778">
      <w:pPr>
        <w:pStyle w:val="JuPara"/>
      </w:pPr>
      <w:r w:rsidRPr="00985778">
        <w:fldChar w:fldCharType="begin"/>
      </w:r>
      <w:r w:rsidRPr="00985778">
        <w:instrText xml:space="preserve"> SEQ level0 \*arabic </w:instrText>
      </w:r>
      <w:r w:rsidRPr="00985778">
        <w:fldChar w:fldCharType="separate"/>
      </w:r>
      <w:r w:rsidR="00985778" w:rsidRPr="00985778">
        <w:rPr>
          <w:noProof/>
        </w:rPr>
        <w:t>41</w:t>
      </w:r>
      <w:r w:rsidRPr="00985778">
        <w:fldChar w:fldCharType="end"/>
      </w:r>
      <w:r w:rsidRPr="00985778">
        <w:t>.  The applicant claimed 50,000 euros (EUR)</w:t>
      </w:r>
      <w:r w:rsidR="00EE5757" w:rsidRPr="00985778">
        <w:t xml:space="preserve"> in respect of the non</w:t>
      </w:r>
      <w:r w:rsidR="00EE5757" w:rsidRPr="00985778">
        <w:noBreakHyphen/>
      </w:r>
      <w:r w:rsidRPr="00985778">
        <w:t xml:space="preserve">pecuniary damage suffered </w:t>
      </w:r>
      <w:proofErr w:type="gramStart"/>
      <w:r w:rsidRPr="00985778">
        <w:t>as a consequence</w:t>
      </w:r>
      <w:proofErr w:type="gramEnd"/>
      <w:r w:rsidRPr="00985778">
        <w:t xml:space="preserve"> of the length of the domestic proceedings.</w:t>
      </w:r>
    </w:p>
    <w:p w:rsidR="00780624" w:rsidRPr="00985778" w:rsidRDefault="00780624" w:rsidP="00985778">
      <w:pPr>
        <w:pStyle w:val="JuPara"/>
      </w:pPr>
      <w:r w:rsidRPr="00985778">
        <w:fldChar w:fldCharType="begin"/>
      </w:r>
      <w:r w:rsidRPr="00985778">
        <w:instrText xml:space="preserve"> SEQ level0 \*arabic </w:instrText>
      </w:r>
      <w:r w:rsidRPr="00985778">
        <w:fldChar w:fldCharType="separate"/>
      </w:r>
      <w:r w:rsidR="00985778" w:rsidRPr="00985778">
        <w:rPr>
          <w:noProof/>
        </w:rPr>
        <w:t>42</w:t>
      </w:r>
      <w:r w:rsidRPr="00985778">
        <w:fldChar w:fldCharType="end"/>
      </w:r>
      <w:r w:rsidRPr="00985778">
        <w:t xml:space="preserve">.  The Government argued that the applicant had already obtained compensation at the national level for non-pecuniary damage, and for this reason additional compensation by the Court </w:t>
      </w:r>
      <w:proofErr w:type="gramStart"/>
      <w:r w:rsidRPr="00985778">
        <w:t>would not be warranted</w:t>
      </w:r>
      <w:proofErr w:type="gramEnd"/>
      <w:r w:rsidRPr="00985778">
        <w:t>.</w:t>
      </w:r>
    </w:p>
    <w:p w:rsidR="00780624" w:rsidRPr="00985778" w:rsidRDefault="00780624" w:rsidP="00985778">
      <w:pPr>
        <w:pStyle w:val="JuPara"/>
      </w:pPr>
      <w:r w:rsidRPr="00985778">
        <w:fldChar w:fldCharType="begin"/>
      </w:r>
      <w:r w:rsidRPr="00985778">
        <w:instrText xml:space="preserve"> SEQ level0 \*arabic </w:instrText>
      </w:r>
      <w:r w:rsidRPr="00985778">
        <w:fldChar w:fldCharType="separate"/>
      </w:r>
      <w:r w:rsidR="00985778" w:rsidRPr="00985778">
        <w:rPr>
          <w:noProof/>
        </w:rPr>
        <w:t>43</w:t>
      </w:r>
      <w:r w:rsidRPr="00985778">
        <w:fldChar w:fldCharType="end"/>
      </w:r>
      <w:r w:rsidRPr="00985778">
        <w:t xml:space="preserve">.  Having regard to the characteristics of the domestic remedy chosen by Italy and the fact that, notwithstanding this national remedy, the Court has found a violation, it considers, ruling on an equitable basis, that the applicant </w:t>
      </w:r>
      <w:proofErr w:type="gramStart"/>
      <w:r w:rsidRPr="00985778">
        <w:t>should be awarded</w:t>
      </w:r>
      <w:proofErr w:type="gramEnd"/>
      <w:r w:rsidRPr="00985778">
        <w:t xml:space="preserve"> EUR </w:t>
      </w:r>
      <w:r w:rsidRPr="00985778">
        <w:rPr>
          <w:lang w:eastAsia="en-GB"/>
        </w:rPr>
        <w:t>3,640</w:t>
      </w:r>
      <w:r w:rsidRPr="00985778">
        <w:t>.</w:t>
      </w:r>
    </w:p>
    <w:p w:rsidR="00780624" w:rsidRPr="00985778" w:rsidRDefault="00780624" w:rsidP="00985778">
      <w:pPr>
        <w:pStyle w:val="JuHA"/>
        <w:numPr>
          <w:ilvl w:val="2"/>
          <w:numId w:val="1"/>
        </w:numPr>
      </w:pPr>
      <w:bookmarkStart w:id="11" w:name="_GoBack"/>
      <w:r w:rsidRPr="00985778">
        <w:lastRenderedPageBreak/>
        <w:t>Costs and expenses</w:t>
      </w:r>
    </w:p>
    <w:p w:rsidR="00780624" w:rsidRPr="00985778" w:rsidRDefault="00780624" w:rsidP="00985778">
      <w:pPr>
        <w:pStyle w:val="JuPara"/>
        <w:ind w:firstLine="232"/>
      </w:pPr>
      <w:r w:rsidRPr="00985778">
        <w:fldChar w:fldCharType="begin"/>
      </w:r>
      <w:r w:rsidRPr="00985778">
        <w:instrText xml:space="preserve"> SEQ level0 \*arabic </w:instrText>
      </w:r>
      <w:r w:rsidRPr="00985778">
        <w:fldChar w:fldCharType="separate"/>
      </w:r>
      <w:r w:rsidR="00985778" w:rsidRPr="00985778">
        <w:rPr>
          <w:noProof/>
        </w:rPr>
        <w:t>44</w:t>
      </w:r>
      <w:r w:rsidRPr="00985778">
        <w:fldChar w:fldCharType="end"/>
      </w:r>
      <w:r w:rsidRPr="00985778">
        <w:t xml:space="preserve">.  With regard to the costs incurred in the proceedings before the Court, the applicant submitted a bill of costs and expenses but left the sum to </w:t>
      </w:r>
      <w:proofErr w:type="gramStart"/>
      <w:r w:rsidRPr="00985778">
        <w:t>be awarded</w:t>
      </w:r>
      <w:proofErr w:type="gramEnd"/>
      <w:r w:rsidRPr="00985778">
        <w:t xml:space="preserve"> to the Court</w:t>
      </w:r>
      <w:r w:rsidR="00985778" w:rsidRPr="00985778">
        <w:t>’</w:t>
      </w:r>
      <w:r w:rsidRPr="00985778">
        <w:t>s discretion.</w:t>
      </w:r>
    </w:p>
    <w:p w:rsidR="00780624" w:rsidRPr="00985778" w:rsidRDefault="00780624" w:rsidP="00985778">
      <w:pPr>
        <w:pStyle w:val="JuPara"/>
      </w:pPr>
      <w:r w:rsidRPr="00985778">
        <w:fldChar w:fldCharType="begin"/>
      </w:r>
      <w:r w:rsidRPr="00985778">
        <w:instrText xml:space="preserve"> SEQ level0 \*arabic </w:instrText>
      </w:r>
      <w:r w:rsidRPr="00985778">
        <w:fldChar w:fldCharType="separate"/>
      </w:r>
      <w:r w:rsidR="00985778" w:rsidRPr="00985778">
        <w:rPr>
          <w:noProof/>
        </w:rPr>
        <w:t>45</w:t>
      </w:r>
      <w:r w:rsidRPr="00985778">
        <w:fldChar w:fldCharType="end"/>
      </w:r>
      <w:r w:rsidRPr="00985778">
        <w:t>.  The Government invited the Court not to make an award in connection with costs and expenses.</w:t>
      </w:r>
    </w:p>
    <w:p w:rsidR="00780624" w:rsidRPr="00985778" w:rsidRDefault="00780624" w:rsidP="00985778">
      <w:pPr>
        <w:pStyle w:val="JuPara"/>
      </w:pPr>
      <w:r w:rsidRPr="00985778">
        <w:fldChar w:fldCharType="begin"/>
      </w:r>
      <w:r w:rsidRPr="00985778">
        <w:instrText xml:space="preserve"> SEQ level0 \*arabic </w:instrText>
      </w:r>
      <w:r w:rsidRPr="00985778">
        <w:fldChar w:fldCharType="separate"/>
      </w:r>
      <w:r w:rsidR="00985778" w:rsidRPr="00985778">
        <w:rPr>
          <w:noProof/>
        </w:rPr>
        <w:t>46</w:t>
      </w:r>
      <w:r w:rsidRPr="00985778">
        <w:fldChar w:fldCharType="end"/>
      </w:r>
      <w:r w:rsidRPr="00985778">
        <w:t>.  According to the Court</w:t>
      </w:r>
      <w:r w:rsidR="00985778" w:rsidRPr="00985778">
        <w:t>’</w:t>
      </w:r>
      <w:r w:rsidRPr="00985778">
        <w:t xml:space="preserve">s established case-law, costs and expenses will not be awarded under Article 41 unless it is established that they were actually and necessarily incurred and were reasonable as to quantum (see </w:t>
      </w:r>
      <w:r w:rsidRPr="00985778">
        <w:rPr>
          <w:i/>
        </w:rPr>
        <w:t>Can and Others v. Turkey</w:t>
      </w:r>
      <w:r w:rsidRPr="00985778">
        <w:t>, no. 29189/02, § 22, 24 January 2008).</w:t>
      </w:r>
    </w:p>
    <w:p w:rsidR="00780624" w:rsidRPr="00985778" w:rsidRDefault="00780624" w:rsidP="00985778">
      <w:pPr>
        <w:pStyle w:val="JuPara"/>
      </w:pPr>
      <w:r w:rsidRPr="00985778">
        <w:fldChar w:fldCharType="begin"/>
      </w:r>
      <w:r w:rsidRPr="00985778">
        <w:instrText xml:space="preserve"> SEQ level0 \*arabic </w:instrText>
      </w:r>
      <w:r w:rsidRPr="00985778">
        <w:fldChar w:fldCharType="separate"/>
      </w:r>
      <w:r w:rsidR="00985778" w:rsidRPr="00985778">
        <w:rPr>
          <w:noProof/>
        </w:rPr>
        <w:t>47</w:t>
      </w:r>
      <w:r w:rsidRPr="00985778">
        <w:fldChar w:fldCharType="end"/>
      </w:r>
      <w:r w:rsidRPr="00985778">
        <w:t xml:space="preserve">.  Regard being had to the documents in its possession and to its case-law, the Court considers it reasonable to award, also bearing in mind the sum already awarded by the domestic courts (see paragraph </w:t>
      </w:r>
      <w:r w:rsidRPr="00985778">
        <w:fldChar w:fldCharType="begin"/>
      </w:r>
      <w:r w:rsidRPr="00985778">
        <w:instrText xml:space="preserve"> REF Pinto_CA \h </w:instrText>
      </w:r>
      <w:r w:rsidRPr="00985778">
        <w:fldChar w:fldCharType="separate"/>
      </w:r>
      <w:r w:rsidR="00985778" w:rsidRPr="00985778">
        <w:rPr>
          <w:noProof/>
        </w:rPr>
        <w:t>15</w:t>
      </w:r>
      <w:r w:rsidRPr="00985778">
        <w:fldChar w:fldCharType="end"/>
      </w:r>
      <w:r w:rsidRPr="00985778">
        <w:t xml:space="preserve"> above), </w:t>
      </w:r>
      <w:r w:rsidR="00761BAF" w:rsidRPr="00985778">
        <w:t>EUR </w:t>
      </w:r>
      <w:r w:rsidRPr="00985778">
        <w:t>300 for the proceedings before the Court in connection with the length of proceedings complaint.</w:t>
      </w:r>
    </w:p>
    <w:p w:rsidR="00780624" w:rsidRPr="00985778" w:rsidRDefault="00780624" w:rsidP="00985778">
      <w:pPr>
        <w:pStyle w:val="JuHA"/>
        <w:numPr>
          <w:ilvl w:val="2"/>
          <w:numId w:val="1"/>
        </w:numPr>
      </w:pPr>
      <w:r w:rsidRPr="00985778">
        <w:t>Default interest</w:t>
      </w:r>
    </w:p>
    <w:p w:rsidR="00780624" w:rsidRPr="00985778" w:rsidRDefault="00780624" w:rsidP="00985778">
      <w:pPr>
        <w:pStyle w:val="JuPara"/>
      </w:pPr>
      <w:r w:rsidRPr="00985778">
        <w:fldChar w:fldCharType="begin"/>
      </w:r>
      <w:r w:rsidRPr="00985778">
        <w:instrText xml:space="preserve"> SEQ level0 \*arabic </w:instrText>
      </w:r>
      <w:r w:rsidRPr="00985778">
        <w:fldChar w:fldCharType="separate"/>
      </w:r>
      <w:r w:rsidR="00985778" w:rsidRPr="00985778">
        <w:rPr>
          <w:noProof/>
        </w:rPr>
        <w:t>48</w:t>
      </w:r>
      <w:r w:rsidRPr="00985778">
        <w:fldChar w:fldCharType="end"/>
      </w:r>
      <w:r w:rsidRPr="00985778">
        <w:t xml:space="preserve">.  The Court considers it appropriate that the default interest rate </w:t>
      </w:r>
      <w:proofErr w:type="gramStart"/>
      <w:r w:rsidRPr="00985778">
        <w:t>should be based</w:t>
      </w:r>
      <w:proofErr w:type="gramEnd"/>
      <w:r w:rsidRPr="00985778">
        <w:t xml:space="preserve"> on the marginal lending rate of the European Central Bank, to which should be added three percentage points.</w:t>
      </w:r>
    </w:p>
    <w:p w:rsidR="00780624" w:rsidRPr="00985778" w:rsidRDefault="00780624" w:rsidP="00985778">
      <w:pPr>
        <w:pStyle w:val="JuHHead"/>
        <w:numPr>
          <w:ilvl w:val="0"/>
          <w:numId w:val="1"/>
        </w:numPr>
      </w:pPr>
      <w:r w:rsidRPr="00985778">
        <w:t>FOR THESE REASONS, THE COURT, UNANIMOUSLY,</w:t>
      </w:r>
    </w:p>
    <w:p w:rsidR="00780624" w:rsidRPr="00985778" w:rsidRDefault="00780624" w:rsidP="00985778">
      <w:pPr>
        <w:pStyle w:val="JuList"/>
      </w:pPr>
      <w:r w:rsidRPr="00985778">
        <w:rPr>
          <w:i/>
        </w:rPr>
        <w:t>Declares</w:t>
      </w:r>
      <w:r w:rsidRPr="00985778">
        <w:t xml:space="preserve"> the complaint concerning Article 6 § 1 admissible and the remainder of the application inadmissible;</w:t>
      </w:r>
    </w:p>
    <w:p w:rsidR="00780624" w:rsidRPr="00985778" w:rsidRDefault="00780624" w:rsidP="00985778">
      <w:pPr>
        <w:pStyle w:val="JuList"/>
      </w:pPr>
      <w:r w:rsidRPr="00985778">
        <w:rPr>
          <w:i/>
        </w:rPr>
        <w:t>Holds</w:t>
      </w:r>
      <w:r w:rsidRPr="00985778">
        <w:t xml:space="preserve"> that there has been a violation of Article 6 § 1 of the Convention;</w:t>
      </w:r>
    </w:p>
    <w:p w:rsidR="00780624" w:rsidRPr="00985778" w:rsidRDefault="00780624" w:rsidP="00985778">
      <w:pPr>
        <w:pStyle w:val="JuList"/>
        <w:keepNext/>
        <w:keepLines/>
        <w:rPr>
          <w:i/>
        </w:rPr>
      </w:pPr>
      <w:r w:rsidRPr="00985778">
        <w:rPr>
          <w:i/>
        </w:rPr>
        <w:t>Holds</w:t>
      </w:r>
    </w:p>
    <w:p w:rsidR="00780624" w:rsidRPr="00985778" w:rsidRDefault="00780624" w:rsidP="00985778">
      <w:pPr>
        <w:pStyle w:val="JuLista"/>
        <w:keepNext/>
        <w:keepLines/>
      </w:pPr>
      <w:r w:rsidRPr="00985778">
        <w:t>that the respondent State is to pay the applicant, within three months, the following amounts:</w:t>
      </w:r>
    </w:p>
    <w:p w:rsidR="00780624" w:rsidRPr="00985778" w:rsidRDefault="00780624" w:rsidP="00985778">
      <w:pPr>
        <w:pStyle w:val="JuListi"/>
      </w:pPr>
      <w:r w:rsidRPr="00985778">
        <w:t>EUR 3,640 (three thousand six hundred and forty euros), plus any tax that may be chargeable, in respect of non-pecuniary damage;</w:t>
      </w:r>
    </w:p>
    <w:p w:rsidR="003736DD" w:rsidRPr="00985778" w:rsidRDefault="00780624" w:rsidP="00985778">
      <w:pPr>
        <w:pStyle w:val="JuListi"/>
      </w:pPr>
      <w:r w:rsidRPr="00985778">
        <w:t>EUR 300 (three hundred euros), plus any tax that may be chargeable to the applicant, in respect of costs and expenses;</w:t>
      </w:r>
    </w:p>
    <w:p w:rsidR="004D0EC7" w:rsidRPr="00985778" w:rsidRDefault="003736DD" w:rsidP="00985778">
      <w:pPr>
        <w:pStyle w:val="JuLista"/>
      </w:pPr>
      <w:proofErr w:type="gramStart"/>
      <w:r w:rsidRPr="00985778">
        <w:t>that</w:t>
      </w:r>
      <w:proofErr w:type="gramEnd"/>
      <w:r w:rsidRPr="00985778">
        <w:t xml:space="preserve"> from the expiry of the above-mentioned three months until settlement simple interest shall be payable on the above amounts at a rate equal to the marginal lending rate of the European </w:t>
      </w:r>
      <w:r w:rsidR="00780624" w:rsidRPr="00985778">
        <w:t>Central Bank during the default period plus three percentage points.</w:t>
      </w:r>
    </w:p>
    <w:bookmarkEnd w:id="11"/>
    <w:p w:rsidR="008E3A08" w:rsidRPr="00985778" w:rsidRDefault="007E2C8C" w:rsidP="00985778">
      <w:pPr>
        <w:pStyle w:val="JuParaLast"/>
      </w:pPr>
      <w:r w:rsidRPr="00985778">
        <w:lastRenderedPageBreak/>
        <w:t xml:space="preserve">Done in English, and notified in writing on </w:t>
      </w:r>
      <w:r w:rsidR="004D1D35" w:rsidRPr="00985778">
        <w:rPr>
          <w:rFonts w:ascii="Times New Roman" w:hAnsi="Times New Roman" w:cs="Times New Roman"/>
        </w:rPr>
        <w:t>26 March</w:t>
      </w:r>
      <w:r w:rsidR="00780624" w:rsidRPr="00985778">
        <w:rPr>
          <w:rFonts w:ascii="Times New Roman" w:hAnsi="Times New Roman" w:cs="Times New Roman"/>
        </w:rPr>
        <w:t xml:space="preserve"> 2020</w:t>
      </w:r>
      <w:r w:rsidRPr="00985778">
        <w:t>, pursuant to Rule 77 §§ </w:t>
      </w:r>
      <w:proofErr w:type="gramStart"/>
      <w:r w:rsidRPr="00985778">
        <w:t>2</w:t>
      </w:r>
      <w:proofErr w:type="gramEnd"/>
      <w:r w:rsidRPr="00985778">
        <w:t xml:space="preserve"> and 3 of the Rules of Court.</w:t>
      </w:r>
    </w:p>
    <w:p w:rsidR="002A613A" w:rsidRPr="00985778" w:rsidRDefault="00EE5757" w:rsidP="00985778">
      <w:pPr>
        <w:pStyle w:val="JuSigned"/>
      </w:pPr>
      <w:r w:rsidRPr="00985778">
        <w:tab/>
      </w:r>
      <w:r w:rsidR="00780624" w:rsidRPr="00985778">
        <w:t xml:space="preserve">Renata </w:t>
      </w:r>
      <w:proofErr w:type="spellStart"/>
      <w:r w:rsidR="00780624" w:rsidRPr="00985778">
        <w:t>Degener</w:t>
      </w:r>
      <w:proofErr w:type="spellEnd"/>
      <w:r w:rsidR="005879A2" w:rsidRPr="00985778">
        <w:t xml:space="preserve"> </w:t>
      </w:r>
      <w:r w:rsidR="009F4C8F" w:rsidRPr="00985778">
        <w:tab/>
      </w:r>
      <w:r w:rsidR="00780624" w:rsidRPr="00985778">
        <w:t xml:space="preserve">Tim </w:t>
      </w:r>
      <w:proofErr w:type="spellStart"/>
      <w:r w:rsidR="00780624" w:rsidRPr="00985778">
        <w:t>Eicke</w:t>
      </w:r>
      <w:proofErr w:type="spellEnd"/>
      <w:r w:rsidR="009F4C8F" w:rsidRPr="00985778">
        <w:br/>
      </w:r>
      <w:r w:rsidR="009F4C8F" w:rsidRPr="00985778">
        <w:tab/>
      </w:r>
      <w:r w:rsidR="00780624" w:rsidRPr="00985778">
        <w:t xml:space="preserve">Deputy </w:t>
      </w:r>
      <w:r w:rsidR="00780624" w:rsidRPr="00985778">
        <w:rPr>
          <w:iCs/>
        </w:rPr>
        <w:t>Registrar</w:t>
      </w:r>
      <w:r w:rsidR="009F4C8F" w:rsidRPr="00985778">
        <w:tab/>
        <w:t>President</w:t>
      </w:r>
    </w:p>
    <w:sectPr w:rsidR="002A613A" w:rsidRPr="00985778" w:rsidSect="007D3701">
      <w:headerReference w:type="even" r:id="rId17"/>
      <w:headerReference w:type="default" r:id="rId18"/>
      <w:footerReference w:type="even" r:id="rId19"/>
      <w:footerReference w:type="default" r:id="rId20"/>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624" w:rsidRPr="00FD1F7F" w:rsidRDefault="00780624" w:rsidP="0098410D">
      <w:r w:rsidRPr="00FD1F7F">
        <w:separator/>
      </w:r>
    </w:p>
  </w:endnote>
  <w:endnote w:type="continuationSeparator" w:id="0">
    <w:p w:rsidR="00780624" w:rsidRPr="00FD1F7F" w:rsidRDefault="00780624" w:rsidP="0098410D">
      <w:r w:rsidRPr="00FD1F7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624" w:rsidRDefault="0078062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624" w:rsidRPr="00150BFA" w:rsidRDefault="00780624" w:rsidP="0020718E">
    <w:pPr>
      <w:jc w:val="center"/>
    </w:pPr>
    <w:r>
      <w:rPr>
        <w:noProof/>
        <w:lang w:val="it-IT" w:eastAsia="it-IT"/>
      </w:rPr>
      <w:drawing>
        <wp:inline distT="0" distB="0" distL="0" distR="0" wp14:anchorId="390550C4" wp14:editId="1BF84FA3">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FD1F7F" w:rsidRDefault="0098410D" w:rsidP="00AF12C5">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624" w:rsidRDefault="00780624">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3D" w:rsidRDefault="00780624" w:rsidP="009A115C">
    <w:pPr>
      <w:pStyle w:val="JuHeader"/>
    </w:pPr>
    <w:r>
      <w:rPr>
        <w:rStyle w:val="Numeropagina"/>
      </w:rPr>
      <w:fldChar w:fldCharType="begin"/>
    </w:r>
    <w:r>
      <w:rPr>
        <w:rStyle w:val="Numeropagina"/>
      </w:rPr>
      <w:instrText xml:space="preserve"> PAGE </w:instrText>
    </w:r>
    <w:r>
      <w:rPr>
        <w:rStyle w:val="Numeropagina"/>
      </w:rPr>
      <w:fldChar w:fldCharType="separate"/>
    </w:r>
    <w:r w:rsidR="00EA339D">
      <w:rPr>
        <w:rStyle w:val="Numeropagina"/>
        <w:noProof/>
      </w:rPr>
      <w:t>8</w:t>
    </w:r>
    <w:r>
      <w:rPr>
        <w:rStyle w:val="Numeropagina"/>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3D" w:rsidRPr="000B7195" w:rsidRDefault="00780624" w:rsidP="007D3701">
    <w:pPr>
      <w:pStyle w:val="JuHeader"/>
    </w:pPr>
    <w:r>
      <w:fldChar w:fldCharType="begin"/>
    </w:r>
    <w:r>
      <w:instrText xml:space="preserve"> PAGE </w:instrText>
    </w:r>
    <w:r>
      <w:fldChar w:fldCharType="separate"/>
    </w:r>
    <w:r w:rsidR="00EA339D">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624" w:rsidRPr="00FD1F7F" w:rsidRDefault="00780624" w:rsidP="0098410D">
      <w:r w:rsidRPr="00FD1F7F">
        <w:separator/>
      </w:r>
    </w:p>
  </w:footnote>
  <w:footnote w:type="continuationSeparator" w:id="0">
    <w:p w:rsidR="00780624" w:rsidRPr="00FD1F7F" w:rsidRDefault="00780624" w:rsidP="0098410D">
      <w:r w:rsidRPr="00FD1F7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624" w:rsidRDefault="0078062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624" w:rsidRPr="00A45145" w:rsidRDefault="00780624" w:rsidP="00A45145">
    <w:pPr>
      <w:jc w:val="center"/>
    </w:pPr>
    <w:r>
      <w:rPr>
        <w:noProof/>
        <w:lang w:val="it-IT" w:eastAsia="it-IT"/>
      </w:rPr>
      <w:drawing>
        <wp:inline distT="0" distB="0" distL="0" distR="0" wp14:anchorId="1E4A0E00" wp14:editId="1A07D1B8">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FD1F7F" w:rsidRDefault="0098410D" w:rsidP="00B14793">
    <w:pPr>
      <w:jc w:val="cent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624" w:rsidRPr="00A45145" w:rsidRDefault="00780624" w:rsidP="00A45145">
    <w:pPr>
      <w:jc w:val="center"/>
    </w:pPr>
    <w:r>
      <w:rPr>
        <w:noProof/>
        <w:lang w:val="it-IT" w:eastAsia="it-IT"/>
      </w:rPr>
      <w:drawing>
        <wp:inline distT="0" distB="0" distL="0" distR="0" wp14:anchorId="2013F14A" wp14:editId="381C6BE4">
          <wp:extent cx="2962275" cy="1219200"/>
          <wp:effectExtent l="0" t="0" r="9525" b="0"/>
          <wp:docPr id="44" name="Picture 4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FD1F7F" w:rsidRDefault="0098410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3D" w:rsidRPr="004D0EC7" w:rsidRDefault="00780624" w:rsidP="004D0EC7">
    <w:pPr>
      <w:pStyle w:val="JuHeader"/>
    </w:pPr>
    <w:r>
      <w:t>MATTEO v. ITALIE</w:t>
    </w:r>
    <w:r w:rsidR="00882CD5" w:rsidRPr="004D0EC7">
      <w:t xml:space="preserve"> </w:t>
    </w:r>
    <w:r w:rsidR="008E3A08">
      <w:t>JUDGMENT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3D" w:rsidRPr="00882CD5" w:rsidRDefault="00780624" w:rsidP="007D3701">
    <w:pPr>
      <w:pStyle w:val="JuHeader"/>
    </w:pPr>
    <w:r>
      <w:t>MATTEO v. ITALIE</w:t>
    </w:r>
    <w:r w:rsidR="00882CD5" w:rsidRPr="00882CD5">
      <w:t xml:space="preserve"> JUDGMENT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A8741ACC"/>
    <w:lvl w:ilvl="0">
      <w:start w:val="1"/>
      <w:numFmt w:val="none"/>
      <w:pStyle w:val="JuHHead"/>
      <w:suff w:val="nothing"/>
      <w:lvlText w:val="%1"/>
      <w:lvlJc w:val="left"/>
      <w:pPr>
        <w:ind w:left="0" w:firstLine="0"/>
      </w:pPr>
      <w:rPr>
        <w:rFonts w:hint="default"/>
      </w:rPr>
    </w:lvl>
    <w:lvl w:ilvl="1">
      <w:start w:val="1"/>
      <w:numFmt w:val="upperRoman"/>
      <w:pStyle w:val="JuHIRoman"/>
      <w:suff w:val="space"/>
      <w:lvlText w:val="%2."/>
      <w:lvlJc w:val="left"/>
      <w:pPr>
        <w:ind w:left="357" w:hanging="357"/>
      </w:pPr>
      <w:rPr>
        <w:rFonts w:hint="default"/>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hint="default"/>
      </w:rPr>
    </w:lvl>
    <w:lvl w:ilvl="7">
      <w:start w:val="1"/>
      <w:numFmt w:val="bullet"/>
      <w:pStyle w:val="JuH"/>
      <w:lvlText w:val="‒"/>
      <w:lvlJc w:val="left"/>
      <w:pPr>
        <w:ind w:left="1418" w:hanging="227"/>
      </w:pPr>
      <w:rPr>
        <w:rFonts w:ascii="Times New Roman" w:hAnsi="Times New Roman" w:cs="Times New Roman" w:hint="default"/>
        <w:color w:val="auto"/>
      </w:rPr>
    </w:lvl>
    <w:lvl w:ilvl="8">
      <w:start w:val="1"/>
      <w:numFmt w:val="bullet"/>
      <w:pStyle w:val="ECHRHeading9"/>
      <w:lvlText w:val="▪"/>
      <w:lvlJc w:val="left"/>
      <w:pPr>
        <w:ind w:left="1644" w:hanging="226"/>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B672D58E"/>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6C78C3"/>
    <w:multiLevelType w:val="multilevel"/>
    <w:tmpl w:val="C3F62BB2"/>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lvlText w:val="(%7)"/>
      <w:lvlJc w:val="left"/>
      <w:pPr>
        <w:ind w:left="1372" w:hanging="334"/>
      </w:pPr>
      <w:rPr>
        <w:rFonts w:ascii="Times New Roman" w:hAnsi="Times New Roman" w:hint="default"/>
        <w:sz w:val="20"/>
      </w:rPr>
    </w:lvl>
    <w:lvl w:ilvl="7">
      <w:start w:val="1"/>
      <w:numFmt w:val="bullet"/>
      <w:lvlText w:val="‒"/>
      <w:lvlJc w:val="left"/>
      <w:pPr>
        <w:ind w:left="1304" w:hanging="68"/>
      </w:pPr>
      <w:rPr>
        <w:rFonts w:ascii="Calibri" w:hAnsi="Calibri" w:hint="default"/>
        <w:color w:val="auto"/>
      </w:rPr>
    </w:lvl>
    <w:lvl w:ilvl="8">
      <w:start w:val="1"/>
      <w:numFmt w:val="bullet"/>
      <w:lvlText w:val="▪"/>
      <w:lvlJc w:val="left"/>
      <w:pPr>
        <w:ind w:left="1644" w:hanging="226"/>
      </w:pPr>
      <w:rPr>
        <w:rFonts w:ascii="Calibri" w:hAnsi="Calibri" w:hint="default"/>
        <w:b w:val="0"/>
        <w:i w:val="0"/>
        <w:color w:val="auto"/>
        <w:sz w:val="18"/>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3"/>
  </w:num>
  <w:num w:numId="2">
    <w:abstractNumId w:val="9"/>
  </w:num>
  <w:num w:numId="3">
    <w:abstractNumId w:val="14"/>
  </w:num>
  <w:num w:numId="4">
    <w:abstractNumId w:val="11"/>
  </w:num>
  <w:num w:numId="5">
    <w:abstractNumId w:val="10"/>
  </w:num>
  <w:num w:numId="6">
    <w:abstractNumId w:val="15"/>
  </w:num>
  <w:num w:numId="7">
    <w:abstractNumId w:val="12"/>
    <w:lvlOverride w:ilvl="0">
      <w:lvl w:ilvl="0">
        <w:start w:val="1"/>
        <w:numFmt w:val="decimal"/>
        <w:pStyle w:val="JuList"/>
        <w:lvlText w:val="%1."/>
        <w:lvlJc w:val="left"/>
        <w:pPr>
          <w:tabs>
            <w:tab w:val="num" w:pos="340"/>
          </w:tabs>
          <w:ind w:left="340" w:hanging="340"/>
        </w:pPr>
        <w:rPr>
          <w:rFonts w:hint="default"/>
          <w:i w:val="0"/>
        </w:rPr>
      </w:lvl>
    </w:lvlOverride>
  </w:num>
  <w:num w:numId="8">
    <w:abstractNumId w:val="16"/>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252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780624"/>
    <w:rsid w:val="000041F8"/>
    <w:rsid w:val="000042A8"/>
    <w:rsid w:val="00004308"/>
    <w:rsid w:val="00005BF0"/>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32BD"/>
    <w:rsid w:val="001943B5"/>
    <w:rsid w:val="00195134"/>
    <w:rsid w:val="001A145B"/>
    <w:rsid w:val="001A3E09"/>
    <w:rsid w:val="001A674C"/>
    <w:rsid w:val="001A7AE1"/>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36DD"/>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C9A"/>
    <w:rsid w:val="00474F3D"/>
    <w:rsid w:val="00477E3A"/>
    <w:rsid w:val="00483E5F"/>
    <w:rsid w:val="00485FF9"/>
    <w:rsid w:val="004907F0"/>
    <w:rsid w:val="0049140B"/>
    <w:rsid w:val="004923A5"/>
    <w:rsid w:val="0049310E"/>
    <w:rsid w:val="004950E2"/>
    <w:rsid w:val="00496BFB"/>
    <w:rsid w:val="004A15C7"/>
    <w:rsid w:val="004A3201"/>
    <w:rsid w:val="004B013B"/>
    <w:rsid w:val="004B112B"/>
    <w:rsid w:val="004B444E"/>
    <w:rsid w:val="004C01E4"/>
    <w:rsid w:val="004C086C"/>
    <w:rsid w:val="004C1F56"/>
    <w:rsid w:val="004C27BC"/>
    <w:rsid w:val="004C6621"/>
    <w:rsid w:val="004D0EC7"/>
    <w:rsid w:val="004D15F3"/>
    <w:rsid w:val="004D1D35"/>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19FF"/>
    <w:rsid w:val="00525208"/>
    <w:rsid w:val="005257A5"/>
    <w:rsid w:val="005264C0"/>
    <w:rsid w:val="00526A8A"/>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E7CF2"/>
    <w:rsid w:val="005F51E1"/>
    <w:rsid w:val="00611C80"/>
    <w:rsid w:val="00620692"/>
    <w:rsid w:val="006242CA"/>
    <w:rsid w:val="00627507"/>
    <w:rsid w:val="00633717"/>
    <w:rsid w:val="006344E1"/>
    <w:rsid w:val="00643524"/>
    <w:rsid w:val="0064393B"/>
    <w:rsid w:val="006545C4"/>
    <w:rsid w:val="00661971"/>
    <w:rsid w:val="00661CE8"/>
    <w:rsid w:val="006623D9"/>
    <w:rsid w:val="006642A5"/>
    <w:rsid w:val="0066550C"/>
    <w:rsid w:val="00665BD2"/>
    <w:rsid w:val="006716F2"/>
    <w:rsid w:val="00682BF2"/>
    <w:rsid w:val="0068573E"/>
    <w:rsid w:val="006859CE"/>
    <w:rsid w:val="00691270"/>
    <w:rsid w:val="00694BA8"/>
    <w:rsid w:val="006A037C"/>
    <w:rsid w:val="006A243F"/>
    <w:rsid w:val="006A36F4"/>
    <w:rsid w:val="006A406F"/>
    <w:rsid w:val="006A5D3A"/>
    <w:rsid w:val="006C23D4"/>
    <w:rsid w:val="006C7BB0"/>
    <w:rsid w:val="006D3237"/>
    <w:rsid w:val="006E2E37"/>
    <w:rsid w:val="006E3CF1"/>
    <w:rsid w:val="006E68A3"/>
    <w:rsid w:val="006E7E80"/>
    <w:rsid w:val="006F1C2D"/>
    <w:rsid w:val="006F48CA"/>
    <w:rsid w:val="006F64DD"/>
    <w:rsid w:val="006F712D"/>
    <w:rsid w:val="00711393"/>
    <w:rsid w:val="00715127"/>
    <w:rsid w:val="00715E8E"/>
    <w:rsid w:val="00723580"/>
    <w:rsid w:val="00723755"/>
    <w:rsid w:val="0073136C"/>
    <w:rsid w:val="00731F0F"/>
    <w:rsid w:val="00733250"/>
    <w:rsid w:val="00741404"/>
    <w:rsid w:val="007449E5"/>
    <w:rsid w:val="0074750E"/>
    <w:rsid w:val="00747FF0"/>
    <w:rsid w:val="0075566E"/>
    <w:rsid w:val="00761BAF"/>
    <w:rsid w:val="00763602"/>
    <w:rsid w:val="00764D4E"/>
    <w:rsid w:val="00765A1F"/>
    <w:rsid w:val="00775B6D"/>
    <w:rsid w:val="00776D68"/>
    <w:rsid w:val="00780624"/>
    <w:rsid w:val="0078323E"/>
    <w:rsid w:val="007850EE"/>
    <w:rsid w:val="00785B95"/>
    <w:rsid w:val="00790E96"/>
    <w:rsid w:val="00793366"/>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778"/>
    <w:rsid w:val="00985BAB"/>
    <w:rsid w:val="00986B3C"/>
    <w:rsid w:val="009A115C"/>
    <w:rsid w:val="009B1606"/>
    <w:rsid w:val="009B1B5F"/>
    <w:rsid w:val="009B6673"/>
    <w:rsid w:val="009C191B"/>
    <w:rsid w:val="009C2BD6"/>
    <w:rsid w:val="009E1F32"/>
    <w:rsid w:val="009E2CC2"/>
    <w:rsid w:val="009E776C"/>
    <w:rsid w:val="009F4C8F"/>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5B65"/>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115C3"/>
    <w:rsid w:val="00C15547"/>
    <w:rsid w:val="00C1672D"/>
    <w:rsid w:val="00C22687"/>
    <w:rsid w:val="00C26A92"/>
    <w:rsid w:val="00C26B1C"/>
    <w:rsid w:val="00C32E4D"/>
    <w:rsid w:val="00C333A0"/>
    <w:rsid w:val="00C36A81"/>
    <w:rsid w:val="00C41974"/>
    <w:rsid w:val="00C44A2C"/>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C61D2"/>
    <w:rsid w:val="00CD11D3"/>
    <w:rsid w:val="00CD282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70091"/>
    <w:rsid w:val="00E70D2E"/>
    <w:rsid w:val="00E720F5"/>
    <w:rsid w:val="00E74650"/>
    <w:rsid w:val="00E76D47"/>
    <w:rsid w:val="00E827BC"/>
    <w:rsid w:val="00E849F7"/>
    <w:rsid w:val="00E90302"/>
    <w:rsid w:val="00E91D05"/>
    <w:rsid w:val="00E95C1E"/>
    <w:rsid w:val="00E97396"/>
    <w:rsid w:val="00EA185E"/>
    <w:rsid w:val="00EA339D"/>
    <w:rsid w:val="00EA592A"/>
    <w:rsid w:val="00EB14E4"/>
    <w:rsid w:val="00EB32A5"/>
    <w:rsid w:val="00EB34ED"/>
    <w:rsid w:val="00EB447C"/>
    <w:rsid w:val="00EB7BE0"/>
    <w:rsid w:val="00EC315E"/>
    <w:rsid w:val="00ED077C"/>
    <w:rsid w:val="00ED10A9"/>
    <w:rsid w:val="00ED1190"/>
    <w:rsid w:val="00ED12EB"/>
    <w:rsid w:val="00ED34AC"/>
    <w:rsid w:val="00ED6544"/>
    <w:rsid w:val="00EE0277"/>
    <w:rsid w:val="00EE2899"/>
    <w:rsid w:val="00EE3E00"/>
    <w:rsid w:val="00EE5757"/>
    <w:rsid w:val="00EE5DD2"/>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CC61D2"/>
    <w:rPr>
      <w:sz w:val="24"/>
      <w:szCs w:val="24"/>
      <w:lang w:val="en-GB"/>
    </w:rPr>
  </w:style>
  <w:style w:type="paragraph" w:styleId="Titolo1">
    <w:name w:val="heading 1"/>
    <w:basedOn w:val="Normale"/>
    <w:next w:val="Normale"/>
    <w:link w:val="Titolo1Carattere"/>
    <w:uiPriority w:val="98"/>
    <w:semiHidden/>
    <w:rsid w:val="00CC61D2"/>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CC61D2"/>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CC61D2"/>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CC61D2"/>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CC61D2"/>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CC61D2"/>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CC61D2"/>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CC61D2"/>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CC61D2"/>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CC61D2"/>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CC61D2"/>
    <w:rPr>
      <w:rFonts w:ascii="Tahoma" w:hAnsi="Tahoma" w:cs="Tahoma"/>
      <w:sz w:val="16"/>
      <w:szCs w:val="16"/>
      <w:lang w:val="en-GB"/>
    </w:rPr>
  </w:style>
  <w:style w:type="character" w:styleId="Titolodellibro">
    <w:name w:val="Book Title"/>
    <w:uiPriority w:val="98"/>
    <w:semiHidden/>
    <w:qFormat/>
    <w:rsid w:val="00CC61D2"/>
    <w:rPr>
      <w:i/>
      <w:iCs/>
      <w:smallCaps/>
      <w:spacing w:val="5"/>
    </w:rPr>
  </w:style>
  <w:style w:type="paragraph" w:customStyle="1" w:styleId="JuHeader">
    <w:name w:val="Ju_Header"/>
    <w:aliases w:val="_Header"/>
    <w:basedOn w:val="Intestazione"/>
    <w:uiPriority w:val="29"/>
    <w:qFormat/>
    <w:rsid w:val="00CC61D2"/>
    <w:pPr>
      <w:tabs>
        <w:tab w:val="clear" w:pos="4536"/>
        <w:tab w:val="clear" w:pos="9072"/>
      </w:tabs>
      <w:jc w:val="center"/>
    </w:pPr>
    <w:rPr>
      <w:sz w:val="18"/>
    </w:rPr>
  </w:style>
  <w:style w:type="paragraph" w:customStyle="1" w:styleId="NormalJustified">
    <w:name w:val="Normal_Justified"/>
    <w:basedOn w:val="Normale"/>
    <w:semiHidden/>
    <w:rsid w:val="00CC61D2"/>
    <w:pPr>
      <w:jc w:val="both"/>
    </w:pPr>
  </w:style>
  <w:style w:type="character" w:styleId="Enfasigrassetto">
    <w:name w:val="Strong"/>
    <w:uiPriority w:val="98"/>
    <w:semiHidden/>
    <w:qFormat/>
    <w:rsid w:val="00CC61D2"/>
    <w:rPr>
      <w:b/>
      <w:bCs/>
    </w:rPr>
  </w:style>
  <w:style w:type="paragraph" w:styleId="Nessunaspaziatura">
    <w:name w:val="No Spacing"/>
    <w:basedOn w:val="Normale"/>
    <w:link w:val="NessunaspaziaturaCarattere"/>
    <w:uiPriority w:val="98"/>
    <w:semiHidden/>
    <w:qFormat/>
    <w:rsid w:val="00CC61D2"/>
  </w:style>
  <w:style w:type="character" w:customStyle="1" w:styleId="NessunaspaziaturaCarattere">
    <w:name w:val="Nessuna spaziatura Carattere"/>
    <w:basedOn w:val="Carpredefinitoparagrafo"/>
    <w:link w:val="Nessunaspaziatura"/>
    <w:uiPriority w:val="98"/>
    <w:semiHidden/>
    <w:rsid w:val="00CC61D2"/>
    <w:rPr>
      <w:sz w:val="24"/>
      <w:szCs w:val="24"/>
      <w:lang w:val="en-GB"/>
    </w:rPr>
  </w:style>
  <w:style w:type="paragraph" w:customStyle="1" w:styleId="JuQuot">
    <w:name w:val="Ju_Quot"/>
    <w:aliases w:val="_Quote"/>
    <w:basedOn w:val="NormalJustified"/>
    <w:uiPriority w:val="20"/>
    <w:qFormat/>
    <w:rsid w:val="00CC61D2"/>
    <w:pPr>
      <w:spacing w:before="120" w:after="120"/>
      <w:ind w:left="425" w:firstLine="142"/>
    </w:pPr>
    <w:rPr>
      <w:sz w:val="20"/>
    </w:rPr>
  </w:style>
  <w:style w:type="paragraph" w:customStyle="1" w:styleId="DummyStyle">
    <w:name w:val="Dummy_Style"/>
    <w:aliases w:val="_Dummy"/>
    <w:basedOn w:val="Normale"/>
    <w:semiHidden/>
    <w:qFormat/>
    <w:rsid w:val="00CC61D2"/>
    <w:rPr>
      <w:color w:val="00B050"/>
      <w:sz w:val="22"/>
    </w:rPr>
  </w:style>
  <w:style w:type="paragraph" w:customStyle="1" w:styleId="JuList">
    <w:name w:val="Ju_List"/>
    <w:aliases w:val="_List_1"/>
    <w:basedOn w:val="NormalJustified"/>
    <w:uiPriority w:val="23"/>
    <w:qFormat/>
    <w:rsid w:val="00CC61D2"/>
    <w:pPr>
      <w:numPr>
        <w:numId w:val="7"/>
      </w:numPr>
      <w:spacing w:before="280" w:after="60"/>
    </w:pPr>
  </w:style>
  <w:style w:type="paragraph" w:customStyle="1" w:styleId="JuLista">
    <w:name w:val="Ju_List_a"/>
    <w:aliases w:val="_List_2"/>
    <w:basedOn w:val="NormalJustified"/>
    <w:uiPriority w:val="23"/>
    <w:rsid w:val="00CC61D2"/>
    <w:pPr>
      <w:numPr>
        <w:ilvl w:val="1"/>
        <w:numId w:val="7"/>
      </w:numPr>
    </w:pPr>
  </w:style>
  <w:style w:type="paragraph" w:customStyle="1" w:styleId="JuListi">
    <w:name w:val="Ju_List_i"/>
    <w:aliases w:val="_List_3"/>
    <w:basedOn w:val="NormalJustified"/>
    <w:uiPriority w:val="23"/>
    <w:rsid w:val="00CC61D2"/>
    <w:pPr>
      <w:numPr>
        <w:ilvl w:val="2"/>
        <w:numId w:val="7"/>
      </w:numPr>
    </w:pPr>
  </w:style>
  <w:style w:type="paragraph" w:customStyle="1" w:styleId="JuHArticle">
    <w:name w:val="Ju_H_Article"/>
    <w:aliases w:val="_Title_Quote"/>
    <w:basedOn w:val="Normale"/>
    <w:next w:val="JuQuot"/>
    <w:uiPriority w:val="19"/>
    <w:qFormat/>
    <w:rsid w:val="00CC61D2"/>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CC61D2"/>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CC61D2"/>
    <w:pPr>
      <w:keepNext/>
      <w:keepLines/>
      <w:tabs>
        <w:tab w:val="right" w:pos="7938"/>
      </w:tabs>
      <w:ind w:firstLine="0"/>
      <w:jc w:val="center"/>
    </w:pPr>
    <w:rPr>
      <w:i/>
    </w:rPr>
  </w:style>
  <w:style w:type="paragraph" w:customStyle="1" w:styleId="JuHHead">
    <w:name w:val="Ju_H_Head"/>
    <w:aliases w:val="_Head_1"/>
    <w:basedOn w:val="Titolo1"/>
    <w:next w:val="JuPara"/>
    <w:uiPriority w:val="17"/>
    <w:qFormat/>
    <w:rsid w:val="00CC61D2"/>
    <w:pPr>
      <w:keepNext/>
      <w:keepLines/>
      <w:numPr>
        <w:numId w:val="2"/>
      </w:numPr>
      <w:spacing w:before="100" w:beforeAutospacing="1" w:after="240"/>
      <w:contextualSpacing w:val="0"/>
      <w:jc w:val="both"/>
    </w:pPr>
    <w:rPr>
      <w:b w:val="0"/>
      <w:caps/>
      <w:color w:val="auto"/>
    </w:rPr>
  </w:style>
  <w:style w:type="numbering" w:customStyle="1" w:styleId="ECHRA1StyleBulletedSquare">
    <w:name w:val="ECHR_A1_Style_Bulleted_Square"/>
    <w:basedOn w:val="Nessunelenco"/>
    <w:rsid w:val="00CC61D2"/>
    <w:pPr>
      <w:numPr>
        <w:numId w:val="6"/>
      </w:numPr>
    </w:pPr>
  </w:style>
  <w:style w:type="paragraph" w:customStyle="1" w:styleId="JuSigned">
    <w:name w:val="Ju_Signed"/>
    <w:aliases w:val="_Signature"/>
    <w:basedOn w:val="Normale"/>
    <w:next w:val="JuPara"/>
    <w:uiPriority w:val="31"/>
    <w:qFormat/>
    <w:rsid w:val="00CC61D2"/>
    <w:pPr>
      <w:tabs>
        <w:tab w:val="center" w:pos="851"/>
        <w:tab w:val="center" w:pos="6407"/>
      </w:tabs>
      <w:spacing w:before="720"/>
    </w:pPr>
  </w:style>
  <w:style w:type="paragraph" w:styleId="Titolo">
    <w:name w:val="Title"/>
    <w:basedOn w:val="Normale"/>
    <w:next w:val="Normale"/>
    <w:link w:val="TitoloCarattere"/>
    <w:uiPriority w:val="98"/>
    <w:semiHidden/>
    <w:qFormat/>
    <w:rsid w:val="00CC61D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CC61D2"/>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essunelenco"/>
    <w:uiPriority w:val="99"/>
    <w:rsid w:val="00CC61D2"/>
    <w:pPr>
      <w:numPr>
        <w:numId w:val="19"/>
      </w:numPr>
    </w:pPr>
  </w:style>
  <w:style w:type="numbering" w:customStyle="1" w:styleId="ECHRA1StyleNumberedList">
    <w:name w:val="ECHR_A1_Style_Numbered_List"/>
    <w:basedOn w:val="Nessunelenco"/>
    <w:rsid w:val="00CC61D2"/>
    <w:pPr>
      <w:numPr>
        <w:numId w:val="8"/>
      </w:numPr>
    </w:pPr>
  </w:style>
  <w:style w:type="table" w:customStyle="1" w:styleId="ECHRTable2019">
    <w:name w:val="ECHR_Table_2019"/>
    <w:basedOn w:val="Tabellanormale"/>
    <w:uiPriority w:val="99"/>
    <w:rsid w:val="00CC61D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CC61D2"/>
    <w:rPr>
      <w:sz w:val="8"/>
    </w:rPr>
  </w:style>
  <w:style w:type="paragraph" w:customStyle="1" w:styleId="JuCourt">
    <w:name w:val="Ju_Court"/>
    <w:aliases w:val="_Court_Names"/>
    <w:basedOn w:val="Normale"/>
    <w:next w:val="Normale"/>
    <w:uiPriority w:val="32"/>
    <w:qFormat/>
    <w:rsid w:val="00CC61D2"/>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rsid w:val="00CC61D2"/>
    <w:pPr>
      <w:keepNext/>
      <w:keepLines/>
      <w:numPr>
        <w:ilvl w:val="1"/>
        <w:numId w:val="2"/>
      </w:numPr>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CC61D2"/>
    <w:pPr>
      <w:keepNext/>
      <w:keepLines/>
      <w:numPr>
        <w:ilvl w:val="2"/>
        <w:numId w:val="2"/>
      </w:numPr>
      <w:spacing w:before="100" w:beforeAutospacing="1" w:after="240" w:line="240" w:lineRule="auto"/>
      <w:jc w:val="both"/>
    </w:pPr>
    <w:rPr>
      <w:color w:val="auto"/>
      <w:sz w:val="24"/>
    </w:rPr>
  </w:style>
  <w:style w:type="paragraph" w:customStyle="1" w:styleId="JuH1">
    <w:name w:val="Ju_H_1."/>
    <w:aliases w:val="_Head_4"/>
    <w:basedOn w:val="Titolo4"/>
    <w:next w:val="JuPara"/>
    <w:link w:val="JuH1Char"/>
    <w:uiPriority w:val="17"/>
    <w:rsid w:val="00CC61D2"/>
    <w:pPr>
      <w:keepNext/>
      <w:keepLines/>
      <w:numPr>
        <w:ilvl w:val="3"/>
        <w:numId w:val="2"/>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CC61D2"/>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CC61D2"/>
    <w:rPr>
      <w:sz w:val="24"/>
      <w:szCs w:val="24"/>
      <w:lang w:val="en-GB"/>
    </w:rPr>
  </w:style>
  <w:style w:type="character" w:customStyle="1" w:styleId="Titolo1Carattere">
    <w:name w:val="Titolo 1 Carattere"/>
    <w:basedOn w:val="Carpredefinitoparagrafo"/>
    <w:link w:val="Titolo1"/>
    <w:uiPriority w:val="98"/>
    <w:semiHidden/>
    <w:rsid w:val="00CC61D2"/>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Titolo5"/>
    <w:next w:val="JuPara"/>
    <w:uiPriority w:val="17"/>
    <w:rsid w:val="00CC61D2"/>
    <w:pPr>
      <w:keepNext/>
      <w:keepLines/>
      <w:numPr>
        <w:ilvl w:val="4"/>
        <w:numId w:val="2"/>
      </w:numPr>
      <w:spacing w:before="100" w:beforeAutospacing="1" w:after="120"/>
      <w:jc w:val="both"/>
    </w:pPr>
    <w:rPr>
      <w:color w:val="auto"/>
      <w:sz w:val="20"/>
    </w:rPr>
  </w:style>
  <w:style w:type="paragraph" w:customStyle="1" w:styleId="JuHi">
    <w:name w:val="Ju_H_i"/>
    <w:aliases w:val="_Head_6"/>
    <w:basedOn w:val="Titolo6"/>
    <w:next w:val="JuPara"/>
    <w:uiPriority w:val="17"/>
    <w:rsid w:val="00CC61D2"/>
    <w:pPr>
      <w:keepNext/>
      <w:keepLines/>
      <w:numPr>
        <w:ilvl w:val="5"/>
        <w:numId w:val="2"/>
      </w:numPr>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CC61D2"/>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Titolo7"/>
    <w:next w:val="JuPara"/>
    <w:uiPriority w:val="17"/>
    <w:rsid w:val="00CC61D2"/>
    <w:pPr>
      <w:keepNext/>
      <w:keepLines/>
      <w:numPr>
        <w:ilvl w:val="6"/>
        <w:numId w:val="2"/>
      </w:numPr>
      <w:spacing w:before="100" w:beforeAutospacing="1" w:after="120"/>
      <w:jc w:val="both"/>
    </w:pPr>
    <w:rPr>
      <w:i w:val="0"/>
      <w:sz w:val="20"/>
    </w:rPr>
  </w:style>
  <w:style w:type="paragraph" w:customStyle="1" w:styleId="JuH">
    <w:name w:val="Ju_H_–"/>
    <w:aliases w:val="_Head_8"/>
    <w:basedOn w:val="Titolo8"/>
    <w:next w:val="JuPara"/>
    <w:uiPriority w:val="17"/>
    <w:rsid w:val="00CC61D2"/>
    <w:pPr>
      <w:keepNext/>
      <w:keepLines/>
      <w:numPr>
        <w:ilvl w:val="7"/>
        <w:numId w:val="2"/>
      </w:numPr>
      <w:spacing w:before="100" w:beforeAutospacing="1" w:after="120"/>
    </w:pPr>
    <w:rPr>
      <w:i/>
    </w:rPr>
  </w:style>
  <w:style w:type="character" w:customStyle="1" w:styleId="Titolo3Carattere">
    <w:name w:val="Titolo 3 Carattere"/>
    <w:basedOn w:val="Carpredefinitoparagrafo"/>
    <w:link w:val="Titolo3"/>
    <w:uiPriority w:val="98"/>
    <w:semiHidden/>
    <w:rsid w:val="00CC61D2"/>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CC61D2"/>
    <w:pPr>
      <w:keepNext/>
      <w:keepLines/>
      <w:spacing w:before="240" w:after="240"/>
      <w:ind w:firstLine="284"/>
    </w:pPr>
  </w:style>
  <w:style w:type="paragraph" w:customStyle="1" w:styleId="JuJudges">
    <w:name w:val="Ju_Judges"/>
    <w:aliases w:val="_Judges"/>
    <w:basedOn w:val="Normale"/>
    <w:uiPriority w:val="32"/>
    <w:qFormat/>
    <w:rsid w:val="00CC61D2"/>
    <w:pPr>
      <w:tabs>
        <w:tab w:val="left" w:pos="567"/>
        <w:tab w:val="left" w:pos="1134"/>
      </w:tabs>
    </w:pPr>
  </w:style>
  <w:style w:type="character" w:customStyle="1" w:styleId="Titolo4Carattere">
    <w:name w:val="Titolo 4 Carattere"/>
    <w:basedOn w:val="Carpredefinitoparagrafo"/>
    <w:link w:val="Titolo4"/>
    <w:uiPriority w:val="98"/>
    <w:semiHidden/>
    <w:rsid w:val="00CC61D2"/>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e"/>
    <w:uiPriority w:val="31"/>
    <w:qFormat/>
    <w:rsid w:val="00CC61D2"/>
    <w:pPr>
      <w:tabs>
        <w:tab w:val="center" w:pos="6407"/>
      </w:tabs>
      <w:spacing w:before="720"/>
      <w:jc w:val="right"/>
    </w:pPr>
  </w:style>
  <w:style w:type="character" w:customStyle="1" w:styleId="Titolo5Carattere">
    <w:name w:val="Titolo 5 Carattere"/>
    <w:basedOn w:val="Carpredefinitoparagrafo"/>
    <w:link w:val="Titolo5"/>
    <w:uiPriority w:val="98"/>
    <w:semiHidden/>
    <w:rsid w:val="00CC61D2"/>
    <w:rPr>
      <w:rFonts w:asciiTheme="majorHAnsi" w:eastAsiaTheme="majorEastAsia" w:hAnsiTheme="majorHAnsi" w:cstheme="majorBidi"/>
      <w:b/>
      <w:bCs/>
      <w:color w:val="808080"/>
      <w:lang w:val="en-GB"/>
    </w:rPr>
  </w:style>
  <w:style w:type="character" w:customStyle="1" w:styleId="JuITMark">
    <w:name w:val="Ju_ITMark"/>
    <w:aliases w:val="_ITMark"/>
    <w:basedOn w:val="Carpredefinitoparagrafo"/>
    <w:uiPriority w:val="43"/>
    <w:qFormat/>
    <w:rsid w:val="00CC61D2"/>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CC61D2"/>
    <w:rPr>
      <w:caps w:val="0"/>
      <w:smallCaps/>
    </w:rPr>
  </w:style>
  <w:style w:type="character" w:styleId="Enfasidelicata">
    <w:name w:val="Subtle Emphasis"/>
    <w:uiPriority w:val="98"/>
    <w:semiHidden/>
    <w:qFormat/>
    <w:rsid w:val="00CC61D2"/>
    <w:rPr>
      <w:i/>
      <w:iCs/>
    </w:rPr>
  </w:style>
  <w:style w:type="table" w:customStyle="1" w:styleId="ECHRTable">
    <w:name w:val="ECHR_Table"/>
    <w:basedOn w:val="Tabellanormale"/>
    <w:rsid w:val="00CC61D2"/>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CC61D2"/>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CC61D2"/>
    <w:rPr>
      <w:b/>
      <w:bCs/>
      <w:i/>
      <w:iCs/>
      <w:spacing w:val="10"/>
      <w:bdr w:val="none" w:sz="0" w:space="0" w:color="auto"/>
      <w:shd w:val="clear" w:color="auto" w:fill="auto"/>
    </w:rPr>
  </w:style>
  <w:style w:type="paragraph" w:styleId="Pidipagina">
    <w:name w:val="footer"/>
    <w:basedOn w:val="Normale"/>
    <w:link w:val="PidipaginaCarattere"/>
    <w:uiPriority w:val="98"/>
    <w:semiHidden/>
    <w:rsid w:val="00CC61D2"/>
    <w:pPr>
      <w:tabs>
        <w:tab w:val="center" w:pos="3686"/>
        <w:tab w:val="right" w:pos="7371"/>
      </w:tabs>
    </w:pPr>
  </w:style>
  <w:style w:type="character" w:customStyle="1" w:styleId="PidipaginaCarattere">
    <w:name w:val="Piè di pagina Carattere"/>
    <w:basedOn w:val="Carpredefinitoparagrafo"/>
    <w:link w:val="Pidipagina"/>
    <w:uiPriority w:val="98"/>
    <w:semiHidden/>
    <w:rsid w:val="00CC61D2"/>
    <w:rPr>
      <w:sz w:val="24"/>
      <w:szCs w:val="24"/>
      <w:lang w:val="en-GB"/>
    </w:rPr>
  </w:style>
  <w:style w:type="character" w:styleId="Rimandonotaapidipagina">
    <w:name w:val="footnote reference"/>
    <w:basedOn w:val="Carpredefinitoparagrafo"/>
    <w:uiPriority w:val="98"/>
    <w:semiHidden/>
    <w:rsid w:val="00CC61D2"/>
    <w:rPr>
      <w:vertAlign w:val="superscript"/>
    </w:rPr>
  </w:style>
  <w:style w:type="paragraph" w:styleId="Testonotaapidipagina">
    <w:name w:val="footnote text"/>
    <w:basedOn w:val="Normale"/>
    <w:link w:val="TestonotaapidipaginaCarattere"/>
    <w:uiPriority w:val="98"/>
    <w:semiHidden/>
    <w:rsid w:val="00CC61D2"/>
    <w:rPr>
      <w:sz w:val="20"/>
      <w:szCs w:val="20"/>
    </w:rPr>
  </w:style>
  <w:style w:type="character" w:customStyle="1" w:styleId="TestonotaapidipaginaCarattere">
    <w:name w:val="Testo nota a piè di pagina Carattere"/>
    <w:basedOn w:val="Carpredefinitoparagrafo"/>
    <w:link w:val="Testonotaapidipagina"/>
    <w:uiPriority w:val="98"/>
    <w:semiHidden/>
    <w:rsid w:val="00CC61D2"/>
    <w:rPr>
      <w:sz w:val="20"/>
      <w:szCs w:val="20"/>
      <w:lang w:val="en-GB"/>
    </w:rPr>
  </w:style>
  <w:style w:type="character" w:customStyle="1" w:styleId="Titolo6Carattere">
    <w:name w:val="Titolo 6 Carattere"/>
    <w:basedOn w:val="Carpredefinitoparagrafo"/>
    <w:link w:val="Titolo6"/>
    <w:uiPriority w:val="98"/>
    <w:semiHidden/>
    <w:rsid w:val="00CC61D2"/>
    <w:rPr>
      <w:rFonts w:asciiTheme="majorHAnsi" w:eastAsiaTheme="majorEastAsia" w:hAnsiTheme="majorHAnsi" w:cstheme="majorBidi"/>
      <w:b/>
      <w:bCs/>
      <w:i/>
      <w:iCs/>
      <w:color w:val="7F7F7F" w:themeColor="text1" w:themeTint="80"/>
      <w:lang w:val="en-GB" w:bidi="en-US"/>
    </w:rPr>
  </w:style>
  <w:style w:type="character" w:customStyle="1" w:styleId="Titolo7Carattere">
    <w:name w:val="Titolo 7 Carattere"/>
    <w:basedOn w:val="Carpredefinitoparagrafo"/>
    <w:link w:val="Titolo7"/>
    <w:uiPriority w:val="98"/>
    <w:semiHidden/>
    <w:rsid w:val="00CC61D2"/>
    <w:rPr>
      <w:rFonts w:asciiTheme="majorHAnsi" w:eastAsiaTheme="majorEastAsia" w:hAnsiTheme="majorHAnsi" w:cstheme="majorBidi"/>
      <w:i/>
      <w:iCs/>
      <w:lang w:val="en-GB" w:bidi="en-US"/>
    </w:rPr>
  </w:style>
  <w:style w:type="character" w:customStyle="1" w:styleId="Titolo8Carattere">
    <w:name w:val="Titolo 8 Carattere"/>
    <w:basedOn w:val="Carpredefinitoparagrafo"/>
    <w:link w:val="Titolo8"/>
    <w:uiPriority w:val="98"/>
    <w:semiHidden/>
    <w:rsid w:val="00CC61D2"/>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CC61D2"/>
    <w:rPr>
      <w:rFonts w:asciiTheme="majorHAnsi" w:eastAsiaTheme="majorEastAsia" w:hAnsiTheme="majorHAnsi" w:cstheme="majorBidi"/>
      <w:i/>
      <w:iCs/>
      <w:spacing w:val="5"/>
      <w:sz w:val="20"/>
      <w:szCs w:val="20"/>
      <w:lang w:val="en-GB" w:bidi="en-US"/>
    </w:rPr>
  </w:style>
  <w:style w:type="character" w:styleId="Collegamentoipertestuale">
    <w:name w:val="Hyperlink"/>
    <w:basedOn w:val="Carpredefinitoparagrafo"/>
    <w:uiPriority w:val="98"/>
    <w:semiHidden/>
    <w:rsid w:val="00CC61D2"/>
    <w:rPr>
      <w:color w:val="0072BC" w:themeColor="hyperlink"/>
      <w:u w:val="single"/>
    </w:rPr>
  </w:style>
  <w:style w:type="character" w:styleId="Enfasiintensa">
    <w:name w:val="Intense Emphasis"/>
    <w:uiPriority w:val="98"/>
    <w:semiHidden/>
    <w:qFormat/>
    <w:rsid w:val="00CC61D2"/>
    <w:rPr>
      <w:b/>
      <w:bCs/>
    </w:rPr>
  </w:style>
  <w:style w:type="paragraph" w:styleId="Citazioneintensa">
    <w:name w:val="Intense Quote"/>
    <w:basedOn w:val="Normale"/>
    <w:next w:val="Normale"/>
    <w:link w:val="CitazioneintensaCarattere"/>
    <w:uiPriority w:val="98"/>
    <w:semiHidden/>
    <w:qFormat/>
    <w:rsid w:val="00CC61D2"/>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CC61D2"/>
    <w:rPr>
      <w:b/>
      <w:bCs/>
      <w:i/>
      <w:iCs/>
      <w:sz w:val="24"/>
      <w:szCs w:val="24"/>
      <w:lang w:val="en-GB" w:bidi="en-US"/>
    </w:rPr>
  </w:style>
  <w:style w:type="character" w:styleId="Riferimentointenso">
    <w:name w:val="Intense Reference"/>
    <w:uiPriority w:val="98"/>
    <w:semiHidden/>
    <w:qFormat/>
    <w:rsid w:val="00CC61D2"/>
    <w:rPr>
      <w:smallCaps/>
      <w:spacing w:val="5"/>
      <w:u w:val="single"/>
    </w:rPr>
  </w:style>
  <w:style w:type="paragraph" w:styleId="Paragrafoelenco">
    <w:name w:val="List Paragraph"/>
    <w:basedOn w:val="Normale"/>
    <w:uiPriority w:val="98"/>
    <w:semiHidden/>
    <w:qFormat/>
    <w:rsid w:val="00CC61D2"/>
    <w:pPr>
      <w:ind w:left="720"/>
      <w:contextualSpacing/>
    </w:pPr>
  </w:style>
  <w:style w:type="table" w:customStyle="1" w:styleId="LtrTableAddress">
    <w:name w:val="Ltr_Table_Address"/>
    <w:aliases w:val="ECHR_Ltr_Table_Address"/>
    <w:basedOn w:val="Tabellanormale"/>
    <w:uiPriority w:val="99"/>
    <w:rsid w:val="00CC61D2"/>
    <w:rPr>
      <w:sz w:val="24"/>
      <w:szCs w:val="24"/>
    </w:rPr>
    <w:tblPr>
      <w:tblInd w:w="5103" w:type="dxa"/>
    </w:tblPr>
  </w:style>
  <w:style w:type="paragraph" w:styleId="Citazione">
    <w:name w:val="Quote"/>
    <w:basedOn w:val="Normale"/>
    <w:next w:val="Normale"/>
    <w:link w:val="CitazioneCarattere"/>
    <w:uiPriority w:val="98"/>
    <w:semiHidden/>
    <w:qFormat/>
    <w:rsid w:val="00CC61D2"/>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CC61D2"/>
    <w:rPr>
      <w:i/>
      <w:iCs/>
      <w:sz w:val="24"/>
      <w:szCs w:val="24"/>
      <w:lang w:val="en-GB" w:bidi="en-US"/>
    </w:rPr>
  </w:style>
  <w:style w:type="character" w:styleId="Riferimentodelicato">
    <w:name w:val="Subtle Reference"/>
    <w:uiPriority w:val="98"/>
    <w:semiHidden/>
    <w:qFormat/>
    <w:rsid w:val="00CC61D2"/>
    <w:rPr>
      <w:smallCaps/>
    </w:rPr>
  </w:style>
  <w:style w:type="table" w:styleId="Grigliatabella">
    <w:name w:val="Table Grid"/>
    <w:basedOn w:val="Tabellanormale"/>
    <w:uiPriority w:val="59"/>
    <w:semiHidden/>
    <w:rsid w:val="00CC61D2"/>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CC61D2"/>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CC61D2"/>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CC61D2"/>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CC61D2"/>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CC61D2"/>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CC61D2"/>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CC61D2"/>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CC61D2"/>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CC61D2"/>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CC61D2"/>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CC61D2"/>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CC61D2"/>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CC61D2"/>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CC61D2"/>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CC61D2"/>
    <w:rPr>
      <w:rFonts w:asciiTheme="majorHAnsi" w:eastAsiaTheme="majorEastAsia" w:hAnsiTheme="majorHAnsi" w:cstheme="majorBidi"/>
      <w:i/>
      <w:iCs/>
      <w:spacing w:val="13"/>
      <w:sz w:val="24"/>
      <w:szCs w:val="24"/>
      <w:lang w:val="en-GB" w:bidi="en-US"/>
    </w:rPr>
  </w:style>
  <w:style w:type="numbering" w:styleId="111111">
    <w:name w:val="Outline List 2"/>
    <w:basedOn w:val="Nessunelenco"/>
    <w:uiPriority w:val="99"/>
    <w:semiHidden/>
    <w:unhideWhenUsed/>
    <w:rsid w:val="00CC61D2"/>
    <w:pPr>
      <w:numPr>
        <w:numId w:val="3"/>
      </w:numPr>
    </w:pPr>
  </w:style>
  <w:style w:type="paragraph" w:customStyle="1" w:styleId="JuPara">
    <w:name w:val="Ju_Para"/>
    <w:aliases w:val="_Para"/>
    <w:basedOn w:val="NormalJustified"/>
    <w:link w:val="JuParaChar"/>
    <w:uiPriority w:val="4"/>
    <w:qFormat/>
    <w:rsid w:val="00CC61D2"/>
    <w:pPr>
      <w:ind w:firstLine="284"/>
    </w:pPr>
  </w:style>
  <w:style w:type="numbering" w:styleId="1ai">
    <w:name w:val="Outline List 1"/>
    <w:basedOn w:val="Nessunelenco"/>
    <w:uiPriority w:val="99"/>
    <w:semiHidden/>
    <w:unhideWhenUsed/>
    <w:rsid w:val="00CC61D2"/>
    <w:pPr>
      <w:numPr>
        <w:numId w:val="4"/>
      </w:numPr>
    </w:pPr>
  </w:style>
  <w:style w:type="table" w:customStyle="1" w:styleId="ECHRTableSimpleBox">
    <w:name w:val="ECHR_Table_Simple_Box"/>
    <w:basedOn w:val="Tabellanormale"/>
    <w:uiPriority w:val="99"/>
    <w:rsid w:val="00CC61D2"/>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CC61D2"/>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CC61D2"/>
    <w:pPr>
      <w:numPr>
        <w:numId w:val="5"/>
      </w:numPr>
    </w:pPr>
  </w:style>
  <w:style w:type="table" w:customStyle="1" w:styleId="ECHRTableForInternalUse">
    <w:name w:val="ECHR_Table_For_Internal_Use"/>
    <w:basedOn w:val="Tabellanormale"/>
    <w:uiPriority w:val="99"/>
    <w:rsid w:val="00CC61D2"/>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CC61D2"/>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CC61D2"/>
  </w:style>
  <w:style w:type="paragraph" w:styleId="Testodelblocco">
    <w:name w:val="Block Text"/>
    <w:basedOn w:val="Normale"/>
    <w:uiPriority w:val="98"/>
    <w:semiHidden/>
    <w:rsid w:val="00CC61D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CC61D2"/>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CC61D2"/>
    <w:pPr>
      <w:spacing w:after="120"/>
    </w:pPr>
  </w:style>
  <w:style w:type="character" w:customStyle="1" w:styleId="CorpotestoCarattere">
    <w:name w:val="Corpo testo Carattere"/>
    <w:basedOn w:val="Carpredefinitoparagrafo"/>
    <w:link w:val="Corpotesto"/>
    <w:uiPriority w:val="98"/>
    <w:semiHidden/>
    <w:rsid w:val="00CC61D2"/>
    <w:rPr>
      <w:sz w:val="24"/>
      <w:szCs w:val="24"/>
      <w:lang w:val="en-GB"/>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CC61D2"/>
    <w:pPr>
      <w:spacing w:after="120" w:line="480" w:lineRule="auto"/>
    </w:pPr>
  </w:style>
  <w:style w:type="table" w:customStyle="1" w:styleId="ECHRHeaderTableReduced">
    <w:name w:val="ECHR_Header_Table_Reduced"/>
    <w:basedOn w:val="Tabellanormale"/>
    <w:uiPriority w:val="99"/>
    <w:rsid w:val="00CC61D2"/>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e"/>
    <w:next w:val="JuPara"/>
    <w:uiPriority w:val="32"/>
    <w:rsid w:val="00CC61D2"/>
    <w:pPr>
      <w:ind w:firstLine="284"/>
    </w:pPr>
    <w:rPr>
      <w:b/>
    </w:rPr>
  </w:style>
  <w:style w:type="character" w:styleId="Numeropagina">
    <w:name w:val="page number"/>
    <w:uiPriority w:val="98"/>
    <w:semiHidden/>
    <w:rsid w:val="00CC61D2"/>
    <w:rPr>
      <w:sz w:val="18"/>
    </w:rPr>
  </w:style>
  <w:style w:type="paragraph" w:styleId="Puntoelenco">
    <w:name w:val="List Bullet"/>
    <w:basedOn w:val="Normale"/>
    <w:uiPriority w:val="98"/>
    <w:semiHidden/>
    <w:rsid w:val="00CC61D2"/>
    <w:pPr>
      <w:numPr>
        <w:numId w:val="9"/>
      </w:numPr>
    </w:pPr>
  </w:style>
  <w:style w:type="paragraph" w:styleId="Puntoelenco3">
    <w:name w:val="List Bullet 3"/>
    <w:basedOn w:val="Normale"/>
    <w:uiPriority w:val="98"/>
    <w:semiHidden/>
    <w:rsid w:val="00CC61D2"/>
    <w:pPr>
      <w:numPr>
        <w:numId w:val="11"/>
      </w:numPr>
      <w:contextualSpacing/>
    </w:pPr>
  </w:style>
  <w:style w:type="character" w:customStyle="1" w:styleId="Corpodeltesto2Carattere">
    <w:name w:val="Corpo del testo 2 Carattere"/>
    <w:basedOn w:val="Carpredefinitoparagrafo"/>
    <w:link w:val="Corpodeltesto2"/>
    <w:uiPriority w:val="98"/>
    <w:semiHidden/>
    <w:rsid w:val="00CC61D2"/>
    <w:rPr>
      <w:sz w:val="24"/>
      <w:szCs w:val="24"/>
      <w:lang w:val="en-GB"/>
    </w:rPr>
  </w:style>
  <w:style w:type="paragraph" w:styleId="Corpodeltesto3">
    <w:name w:val="Body Text 3"/>
    <w:basedOn w:val="Normale"/>
    <w:link w:val="Corpodeltesto3Carattere"/>
    <w:uiPriority w:val="98"/>
    <w:semiHidden/>
    <w:rsid w:val="00CC61D2"/>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CC61D2"/>
    <w:rPr>
      <w:sz w:val="16"/>
      <w:szCs w:val="16"/>
      <w:lang w:val="en-GB"/>
    </w:rPr>
  </w:style>
  <w:style w:type="paragraph" w:styleId="Primorientrocorpodeltesto">
    <w:name w:val="Body Text First Indent"/>
    <w:basedOn w:val="Corpotesto"/>
    <w:link w:val="PrimorientrocorpodeltestoCarattere"/>
    <w:uiPriority w:val="98"/>
    <w:semiHidden/>
    <w:rsid w:val="00CC61D2"/>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CC61D2"/>
    <w:rPr>
      <w:sz w:val="24"/>
      <w:szCs w:val="24"/>
      <w:lang w:val="en-GB"/>
    </w:rPr>
  </w:style>
  <w:style w:type="paragraph" w:styleId="Rientrocorpodeltesto">
    <w:name w:val="Body Text Indent"/>
    <w:basedOn w:val="Normale"/>
    <w:link w:val="RientrocorpodeltestoCarattere"/>
    <w:uiPriority w:val="98"/>
    <w:semiHidden/>
    <w:rsid w:val="00CC61D2"/>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CC61D2"/>
    <w:rPr>
      <w:sz w:val="24"/>
      <w:szCs w:val="24"/>
      <w:lang w:val="en-GB"/>
    </w:rPr>
  </w:style>
  <w:style w:type="paragraph" w:styleId="Primorientrocorpodeltesto2">
    <w:name w:val="Body Text First Indent 2"/>
    <w:basedOn w:val="Rientrocorpodeltesto"/>
    <w:link w:val="Primorientrocorpodeltesto2Carattere"/>
    <w:uiPriority w:val="98"/>
    <w:semiHidden/>
    <w:rsid w:val="00CC61D2"/>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CC61D2"/>
    <w:rPr>
      <w:sz w:val="24"/>
      <w:szCs w:val="24"/>
      <w:lang w:val="en-GB"/>
    </w:rPr>
  </w:style>
  <w:style w:type="paragraph" w:styleId="Rientrocorpodeltesto2">
    <w:name w:val="Body Text Indent 2"/>
    <w:basedOn w:val="Normale"/>
    <w:link w:val="Rientrocorpodeltesto2Carattere"/>
    <w:uiPriority w:val="98"/>
    <w:semiHidden/>
    <w:rsid w:val="00CC61D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CC61D2"/>
    <w:rPr>
      <w:sz w:val="24"/>
      <w:szCs w:val="24"/>
      <w:lang w:val="en-GB"/>
    </w:rPr>
  </w:style>
  <w:style w:type="paragraph" w:styleId="Rientrocorpodeltesto3">
    <w:name w:val="Body Text Indent 3"/>
    <w:basedOn w:val="Normale"/>
    <w:link w:val="Rientrocorpodeltesto3Carattere"/>
    <w:uiPriority w:val="98"/>
    <w:semiHidden/>
    <w:rsid w:val="00CC61D2"/>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CC61D2"/>
    <w:rPr>
      <w:sz w:val="16"/>
      <w:szCs w:val="16"/>
      <w:lang w:val="en-GB"/>
    </w:rPr>
  </w:style>
  <w:style w:type="paragraph" w:styleId="Didascalia">
    <w:name w:val="caption"/>
    <w:basedOn w:val="Normale"/>
    <w:next w:val="Normale"/>
    <w:uiPriority w:val="98"/>
    <w:semiHidden/>
    <w:qFormat/>
    <w:rsid w:val="00CC61D2"/>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CC61D2"/>
    <w:pPr>
      <w:ind w:left="4252"/>
    </w:pPr>
  </w:style>
  <w:style w:type="character" w:customStyle="1" w:styleId="FormuladichiusuraCarattere">
    <w:name w:val="Formula di chiusura Carattere"/>
    <w:basedOn w:val="Carpredefinitoparagrafo"/>
    <w:link w:val="Formuladichiusura"/>
    <w:uiPriority w:val="98"/>
    <w:semiHidden/>
    <w:rsid w:val="00CC61D2"/>
    <w:rPr>
      <w:sz w:val="24"/>
      <w:szCs w:val="24"/>
      <w:lang w:val="en-GB"/>
    </w:rPr>
  </w:style>
  <w:style w:type="table" w:styleId="Grigliaacolori">
    <w:name w:val="Colorful Grid"/>
    <w:basedOn w:val="Tabellanormale"/>
    <w:uiPriority w:val="73"/>
    <w:semiHidden/>
    <w:rsid w:val="00CC61D2"/>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CC61D2"/>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CC61D2"/>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CC61D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CC61D2"/>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CC61D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CC61D2"/>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CC61D2"/>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CC61D2"/>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CC61D2"/>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CC61D2"/>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CC61D2"/>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CC61D2"/>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CC61D2"/>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CC61D2"/>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CC61D2"/>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CC61D2"/>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CC61D2"/>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CC61D2"/>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CC61D2"/>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CC61D2"/>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CC61D2"/>
    <w:rPr>
      <w:sz w:val="16"/>
      <w:szCs w:val="16"/>
    </w:rPr>
  </w:style>
  <w:style w:type="paragraph" w:styleId="Testocommento">
    <w:name w:val="annotation text"/>
    <w:basedOn w:val="Normale"/>
    <w:link w:val="TestocommentoCarattere"/>
    <w:uiPriority w:val="98"/>
    <w:semiHidden/>
    <w:rsid w:val="00CC61D2"/>
    <w:rPr>
      <w:sz w:val="20"/>
      <w:szCs w:val="20"/>
    </w:rPr>
  </w:style>
  <w:style w:type="character" w:customStyle="1" w:styleId="TestocommentoCarattere">
    <w:name w:val="Testo commento Carattere"/>
    <w:basedOn w:val="Carpredefinitoparagrafo"/>
    <w:link w:val="Testocommento"/>
    <w:uiPriority w:val="98"/>
    <w:semiHidden/>
    <w:rsid w:val="00CC61D2"/>
    <w:rPr>
      <w:sz w:val="20"/>
      <w:szCs w:val="20"/>
      <w:lang w:val="en-GB"/>
    </w:rPr>
  </w:style>
  <w:style w:type="paragraph" w:styleId="Soggettocommento">
    <w:name w:val="annotation subject"/>
    <w:basedOn w:val="Testocommento"/>
    <w:next w:val="Testocommento"/>
    <w:link w:val="SoggettocommentoCarattere"/>
    <w:uiPriority w:val="98"/>
    <w:semiHidden/>
    <w:rsid w:val="00CC61D2"/>
    <w:rPr>
      <w:b/>
      <w:bCs/>
    </w:rPr>
  </w:style>
  <w:style w:type="character" w:customStyle="1" w:styleId="SoggettocommentoCarattere">
    <w:name w:val="Soggetto commento Carattere"/>
    <w:basedOn w:val="TestocommentoCarattere"/>
    <w:link w:val="Soggettocommento"/>
    <w:uiPriority w:val="98"/>
    <w:semiHidden/>
    <w:rsid w:val="00CC61D2"/>
    <w:rPr>
      <w:b/>
      <w:bCs/>
      <w:sz w:val="20"/>
      <w:szCs w:val="20"/>
      <w:lang w:val="en-GB"/>
    </w:rPr>
  </w:style>
  <w:style w:type="table" w:styleId="Elencoscuro">
    <w:name w:val="Dark List"/>
    <w:basedOn w:val="Tabellanormale"/>
    <w:uiPriority w:val="70"/>
    <w:semiHidden/>
    <w:rsid w:val="00CC61D2"/>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CC61D2"/>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CC61D2"/>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CC61D2"/>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CC61D2"/>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CC61D2"/>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CC61D2"/>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CC61D2"/>
  </w:style>
  <w:style w:type="character" w:customStyle="1" w:styleId="DataCarattere">
    <w:name w:val="Data Carattere"/>
    <w:basedOn w:val="Carpredefinitoparagrafo"/>
    <w:link w:val="Data"/>
    <w:uiPriority w:val="98"/>
    <w:semiHidden/>
    <w:rsid w:val="00CC61D2"/>
    <w:rPr>
      <w:sz w:val="24"/>
      <w:szCs w:val="24"/>
      <w:lang w:val="en-GB"/>
    </w:rPr>
  </w:style>
  <w:style w:type="paragraph" w:styleId="Mappadocumento">
    <w:name w:val="Document Map"/>
    <w:basedOn w:val="Normale"/>
    <w:link w:val="MappadocumentoCarattere"/>
    <w:uiPriority w:val="98"/>
    <w:semiHidden/>
    <w:rsid w:val="00CC61D2"/>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CC61D2"/>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CC61D2"/>
  </w:style>
  <w:style w:type="character" w:customStyle="1" w:styleId="FirmadipostaelettronicaCarattere">
    <w:name w:val="Firma di posta elettronica Carattere"/>
    <w:basedOn w:val="Carpredefinitoparagrafo"/>
    <w:link w:val="Firmadipostaelettronica"/>
    <w:uiPriority w:val="98"/>
    <w:semiHidden/>
    <w:rsid w:val="00CC61D2"/>
    <w:rPr>
      <w:sz w:val="24"/>
      <w:szCs w:val="24"/>
      <w:lang w:val="en-GB"/>
    </w:rPr>
  </w:style>
  <w:style w:type="character" w:styleId="Rimandonotadichiusura">
    <w:name w:val="endnote reference"/>
    <w:basedOn w:val="Carpredefinitoparagrafo"/>
    <w:uiPriority w:val="98"/>
    <w:semiHidden/>
    <w:rsid w:val="00CC61D2"/>
    <w:rPr>
      <w:vertAlign w:val="superscript"/>
    </w:rPr>
  </w:style>
  <w:style w:type="paragraph" w:styleId="Testonotadichiusura">
    <w:name w:val="endnote text"/>
    <w:basedOn w:val="Normale"/>
    <w:link w:val="TestonotadichiusuraCarattere"/>
    <w:uiPriority w:val="98"/>
    <w:semiHidden/>
    <w:rsid w:val="00CC61D2"/>
    <w:rPr>
      <w:sz w:val="20"/>
      <w:szCs w:val="20"/>
    </w:rPr>
  </w:style>
  <w:style w:type="character" w:customStyle="1" w:styleId="TestonotadichiusuraCarattere">
    <w:name w:val="Testo nota di chiusura Carattere"/>
    <w:basedOn w:val="Carpredefinitoparagrafo"/>
    <w:link w:val="Testonotadichiusura"/>
    <w:uiPriority w:val="98"/>
    <w:semiHidden/>
    <w:rsid w:val="00CC61D2"/>
    <w:rPr>
      <w:sz w:val="20"/>
      <w:szCs w:val="20"/>
      <w:lang w:val="en-GB"/>
    </w:rPr>
  </w:style>
  <w:style w:type="paragraph" w:styleId="Indirizzodestinatario">
    <w:name w:val="envelope address"/>
    <w:basedOn w:val="Normale"/>
    <w:uiPriority w:val="98"/>
    <w:semiHidden/>
    <w:rsid w:val="00CC61D2"/>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CC61D2"/>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CC61D2"/>
    <w:rPr>
      <w:color w:val="7030A0" w:themeColor="followedHyperlink"/>
      <w:u w:val="single"/>
    </w:rPr>
  </w:style>
  <w:style w:type="character" w:styleId="AcronimoHTML">
    <w:name w:val="HTML Acronym"/>
    <w:basedOn w:val="Carpredefinitoparagrafo"/>
    <w:uiPriority w:val="98"/>
    <w:semiHidden/>
    <w:rsid w:val="00CC61D2"/>
  </w:style>
  <w:style w:type="paragraph" w:styleId="IndirizzoHTML">
    <w:name w:val="HTML Address"/>
    <w:basedOn w:val="Normale"/>
    <w:link w:val="IndirizzoHTMLCarattere"/>
    <w:uiPriority w:val="98"/>
    <w:semiHidden/>
    <w:rsid w:val="00CC61D2"/>
    <w:rPr>
      <w:i/>
      <w:iCs/>
    </w:rPr>
  </w:style>
  <w:style w:type="character" w:customStyle="1" w:styleId="IndirizzoHTMLCarattere">
    <w:name w:val="Indirizzo HTML Carattere"/>
    <w:basedOn w:val="Carpredefinitoparagrafo"/>
    <w:link w:val="IndirizzoHTML"/>
    <w:uiPriority w:val="98"/>
    <w:semiHidden/>
    <w:rsid w:val="00CC61D2"/>
    <w:rPr>
      <w:i/>
      <w:iCs/>
      <w:sz w:val="24"/>
      <w:szCs w:val="24"/>
      <w:lang w:val="en-GB"/>
    </w:rPr>
  </w:style>
  <w:style w:type="character" w:styleId="CitazioneHTML">
    <w:name w:val="HTML Cite"/>
    <w:basedOn w:val="Carpredefinitoparagrafo"/>
    <w:uiPriority w:val="98"/>
    <w:semiHidden/>
    <w:rsid w:val="00CC61D2"/>
    <w:rPr>
      <w:i/>
      <w:iCs/>
    </w:rPr>
  </w:style>
  <w:style w:type="character" w:styleId="CodiceHTML">
    <w:name w:val="HTML Code"/>
    <w:basedOn w:val="Carpredefinitoparagrafo"/>
    <w:uiPriority w:val="98"/>
    <w:semiHidden/>
    <w:rsid w:val="00CC61D2"/>
    <w:rPr>
      <w:rFonts w:ascii="Consolas" w:hAnsi="Consolas" w:cs="Consolas"/>
      <w:sz w:val="20"/>
      <w:szCs w:val="20"/>
    </w:rPr>
  </w:style>
  <w:style w:type="character" w:styleId="DefinizioneHTML">
    <w:name w:val="HTML Definition"/>
    <w:basedOn w:val="Carpredefinitoparagrafo"/>
    <w:uiPriority w:val="98"/>
    <w:semiHidden/>
    <w:rsid w:val="00CC61D2"/>
    <w:rPr>
      <w:i/>
      <w:iCs/>
    </w:rPr>
  </w:style>
  <w:style w:type="character" w:styleId="TastieraHTML">
    <w:name w:val="HTML Keyboard"/>
    <w:basedOn w:val="Carpredefinitoparagrafo"/>
    <w:uiPriority w:val="98"/>
    <w:semiHidden/>
    <w:rsid w:val="00CC61D2"/>
    <w:rPr>
      <w:rFonts w:ascii="Consolas" w:hAnsi="Consolas" w:cs="Consolas"/>
      <w:sz w:val="20"/>
      <w:szCs w:val="20"/>
    </w:rPr>
  </w:style>
  <w:style w:type="paragraph" w:styleId="PreformattatoHTML">
    <w:name w:val="HTML Preformatted"/>
    <w:basedOn w:val="Normale"/>
    <w:link w:val="PreformattatoHTMLCarattere"/>
    <w:uiPriority w:val="98"/>
    <w:semiHidden/>
    <w:rsid w:val="00CC61D2"/>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CC61D2"/>
    <w:rPr>
      <w:rFonts w:ascii="Consolas" w:hAnsi="Consolas" w:cs="Consolas"/>
      <w:sz w:val="20"/>
      <w:szCs w:val="20"/>
      <w:lang w:val="en-GB"/>
    </w:rPr>
  </w:style>
  <w:style w:type="character" w:styleId="EsempioHTML">
    <w:name w:val="HTML Sample"/>
    <w:basedOn w:val="Carpredefinitoparagrafo"/>
    <w:uiPriority w:val="98"/>
    <w:semiHidden/>
    <w:rsid w:val="00CC61D2"/>
    <w:rPr>
      <w:rFonts w:ascii="Consolas" w:hAnsi="Consolas" w:cs="Consolas"/>
      <w:sz w:val="24"/>
      <w:szCs w:val="24"/>
    </w:rPr>
  </w:style>
  <w:style w:type="character" w:styleId="MacchinadascrivereHTML">
    <w:name w:val="HTML Typewriter"/>
    <w:basedOn w:val="Carpredefinitoparagrafo"/>
    <w:uiPriority w:val="98"/>
    <w:semiHidden/>
    <w:rsid w:val="00CC61D2"/>
    <w:rPr>
      <w:rFonts w:ascii="Consolas" w:hAnsi="Consolas" w:cs="Consolas"/>
      <w:sz w:val="20"/>
      <w:szCs w:val="20"/>
    </w:rPr>
  </w:style>
  <w:style w:type="character" w:styleId="VariabileHTML">
    <w:name w:val="HTML Variable"/>
    <w:basedOn w:val="Carpredefinitoparagrafo"/>
    <w:uiPriority w:val="98"/>
    <w:semiHidden/>
    <w:rsid w:val="00CC61D2"/>
    <w:rPr>
      <w:i/>
      <w:iCs/>
    </w:rPr>
  </w:style>
  <w:style w:type="paragraph" w:styleId="Indice1">
    <w:name w:val="index 1"/>
    <w:basedOn w:val="Normale"/>
    <w:next w:val="Normale"/>
    <w:autoRedefine/>
    <w:uiPriority w:val="98"/>
    <w:semiHidden/>
    <w:rsid w:val="00CC61D2"/>
    <w:pPr>
      <w:ind w:left="240" w:hanging="240"/>
    </w:pPr>
  </w:style>
  <w:style w:type="paragraph" w:styleId="Indice2">
    <w:name w:val="index 2"/>
    <w:basedOn w:val="Normale"/>
    <w:next w:val="Normale"/>
    <w:autoRedefine/>
    <w:uiPriority w:val="98"/>
    <w:semiHidden/>
    <w:rsid w:val="00CC61D2"/>
    <w:pPr>
      <w:ind w:left="480" w:hanging="240"/>
    </w:pPr>
  </w:style>
  <w:style w:type="paragraph" w:styleId="Indice3">
    <w:name w:val="index 3"/>
    <w:basedOn w:val="Normale"/>
    <w:next w:val="Normale"/>
    <w:autoRedefine/>
    <w:uiPriority w:val="98"/>
    <w:semiHidden/>
    <w:rsid w:val="00CC61D2"/>
    <w:pPr>
      <w:ind w:left="720" w:hanging="240"/>
    </w:pPr>
  </w:style>
  <w:style w:type="paragraph" w:styleId="Indice4">
    <w:name w:val="index 4"/>
    <w:basedOn w:val="Normale"/>
    <w:next w:val="Normale"/>
    <w:autoRedefine/>
    <w:uiPriority w:val="98"/>
    <w:semiHidden/>
    <w:rsid w:val="00CC61D2"/>
    <w:pPr>
      <w:ind w:left="960" w:hanging="240"/>
    </w:pPr>
  </w:style>
  <w:style w:type="paragraph" w:styleId="Indice5">
    <w:name w:val="index 5"/>
    <w:basedOn w:val="Normale"/>
    <w:next w:val="Normale"/>
    <w:autoRedefine/>
    <w:uiPriority w:val="98"/>
    <w:semiHidden/>
    <w:rsid w:val="00CC61D2"/>
    <w:pPr>
      <w:ind w:left="1200" w:hanging="240"/>
    </w:pPr>
  </w:style>
  <w:style w:type="paragraph" w:styleId="Indice6">
    <w:name w:val="index 6"/>
    <w:basedOn w:val="Normale"/>
    <w:next w:val="Normale"/>
    <w:autoRedefine/>
    <w:uiPriority w:val="98"/>
    <w:semiHidden/>
    <w:rsid w:val="00CC61D2"/>
    <w:pPr>
      <w:ind w:left="1440" w:hanging="240"/>
    </w:pPr>
  </w:style>
  <w:style w:type="paragraph" w:styleId="Indice7">
    <w:name w:val="index 7"/>
    <w:basedOn w:val="Normale"/>
    <w:next w:val="Normale"/>
    <w:autoRedefine/>
    <w:uiPriority w:val="98"/>
    <w:semiHidden/>
    <w:rsid w:val="00CC61D2"/>
    <w:pPr>
      <w:ind w:left="1680" w:hanging="240"/>
    </w:pPr>
  </w:style>
  <w:style w:type="paragraph" w:styleId="Indice8">
    <w:name w:val="index 8"/>
    <w:basedOn w:val="Normale"/>
    <w:next w:val="Normale"/>
    <w:autoRedefine/>
    <w:uiPriority w:val="98"/>
    <w:semiHidden/>
    <w:rsid w:val="00CC61D2"/>
    <w:pPr>
      <w:ind w:left="1920" w:hanging="240"/>
    </w:pPr>
  </w:style>
  <w:style w:type="paragraph" w:styleId="Indice9">
    <w:name w:val="index 9"/>
    <w:basedOn w:val="Normale"/>
    <w:next w:val="Normale"/>
    <w:autoRedefine/>
    <w:uiPriority w:val="98"/>
    <w:semiHidden/>
    <w:rsid w:val="00CC61D2"/>
    <w:pPr>
      <w:ind w:left="2160" w:hanging="240"/>
    </w:pPr>
  </w:style>
  <w:style w:type="paragraph" w:styleId="Titoloindice">
    <w:name w:val="index heading"/>
    <w:basedOn w:val="Normale"/>
    <w:next w:val="Indice1"/>
    <w:uiPriority w:val="98"/>
    <w:semiHidden/>
    <w:rsid w:val="00CC61D2"/>
    <w:rPr>
      <w:rFonts w:asciiTheme="majorHAnsi" w:eastAsiaTheme="majorEastAsia" w:hAnsiTheme="majorHAnsi" w:cstheme="majorBidi"/>
      <w:b/>
      <w:bCs/>
    </w:rPr>
  </w:style>
  <w:style w:type="table" w:styleId="Grigliachiara">
    <w:name w:val="Light Grid"/>
    <w:basedOn w:val="Tabellanormale"/>
    <w:uiPriority w:val="62"/>
    <w:semiHidden/>
    <w:rsid w:val="00CC61D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CC61D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CC61D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CC61D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CC61D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CC61D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CC61D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CC61D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CC61D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CC61D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CC61D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CC61D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CC61D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CC61D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CC61D2"/>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CC61D2"/>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CC61D2"/>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CC61D2"/>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CC61D2"/>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CC61D2"/>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CC61D2"/>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CC61D2"/>
  </w:style>
  <w:style w:type="paragraph" w:styleId="Elenco">
    <w:name w:val="List"/>
    <w:basedOn w:val="Normale"/>
    <w:uiPriority w:val="98"/>
    <w:semiHidden/>
    <w:rsid w:val="00CC61D2"/>
    <w:pPr>
      <w:ind w:left="283" w:hanging="283"/>
      <w:contextualSpacing/>
    </w:pPr>
  </w:style>
  <w:style w:type="paragraph" w:styleId="Elenco2">
    <w:name w:val="List 2"/>
    <w:basedOn w:val="Normale"/>
    <w:uiPriority w:val="98"/>
    <w:semiHidden/>
    <w:rsid w:val="00CC61D2"/>
    <w:pPr>
      <w:ind w:left="566" w:hanging="283"/>
      <w:contextualSpacing/>
    </w:pPr>
  </w:style>
  <w:style w:type="paragraph" w:styleId="Elenco3">
    <w:name w:val="List 3"/>
    <w:basedOn w:val="Normale"/>
    <w:uiPriority w:val="98"/>
    <w:semiHidden/>
    <w:rsid w:val="00CC61D2"/>
    <w:pPr>
      <w:ind w:left="849" w:hanging="283"/>
      <w:contextualSpacing/>
    </w:pPr>
  </w:style>
  <w:style w:type="paragraph" w:styleId="Elenco4">
    <w:name w:val="List 4"/>
    <w:basedOn w:val="Normale"/>
    <w:uiPriority w:val="98"/>
    <w:semiHidden/>
    <w:rsid w:val="00CC61D2"/>
    <w:pPr>
      <w:ind w:left="1132" w:hanging="283"/>
      <w:contextualSpacing/>
    </w:pPr>
  </w:style>
  <w:style w:type="paragraph" w:styleId="Elenco5">
    <w:name w:val="List 5"/>
    <w:basedOn w:val="Normale"/>
    <w:uiPriority w:val="98"/>
    <w:semiHidden/>
    <w:rsid w:val="00CC61D2"/>
    <w:pPr>
      <w:ind w:left="1415" w:hanging="283"/>
      <w:contextualSpacing/>
    </w:pPr>
  </w:style>
  <w:style w:type="paragraph" w:styleId="Puntoelenco2">
    <w:name w:val="List Bullet 2"/>
    <w:basedOn w:val="Normale"/>
    <w:uiPriority w:val="98"/>
    <w:semiHidden/>
    <w:rsid w:val="00CC61D2"/>
    <w:pPr>
      <w:numPr>
        <w:numId w:val="10"/>
      </w:numPr>
      <w:contextualSpacing/>
    </w:pPr>
  </w:style>
  <w:style w:type="paragraph" w:styleId="Puntoelenco4">
    <w:name w:val="List Bullet 4"/>
    <w:basedOn w:val="Normale"/>
    <w:uiPriority w:val="98"/>
    <w:semiHidden/>
    <w:rsid w:val="00CC61D2"/>
    <w:pPr>
      <w:numPr>
        <w:numId w:val="12"/>
      </w:numPr>
      <w:contextualSpacing/>
    </w:pPr>
  </w:style>
  <w:style w:type="paragraph" w:styleId="Puntoelenco5">
    <w:name w:val="List Bullet 5"/>
    <w:basedOn w:val="Normale"/>
    <w:uiPriority w:val="98"/>
    <w:semiHidden/>
    <w:rsid w:val="00CC61D2"/>
    <w:pPr>
      <w:numPr>
        <w:numId w:val="13"/>
      </w:numPr>
      <w:contextualSpacing/>
    </w:pPr>
  </w:style>
  <w:style w:type="paragraph" w:styleId="Elencocontinua">
    <w:name w:val="List Continue"/>
    <w:basedOn w:val="Normale"/>
    <w:uiPriority w:val="98"/>
    <w:semiHidden/>
    <w:rsid w:val="00CC61D2"/>
    <w:pPr>
      <w:spacing w:after="120"/>
      <w:ind w:left="283"/>
      <w:contextualSpacing/>
    </w:pPr>
  </w:style>
  <w:style w:type="paragraph" w:styleId="Elencocontinua2">
    <w:name w:val="List Continue 2"/>
    <w:basedOn w:val="Normale"/>
    <w:uiPriority w:val="98"/>
    <w:semiHidden/>
    <w:rsid w:val="00CC61D2"/>
    <w:pPr>
      <w:spacing w:after="120"/>
      <w:ind w:left="566"/>
      <w:contextualSpacing/>
    </w:pPr>
  </w:style>
  <w:style w:type="paragraph" w:styleId="Elencocontinua3">
    <w:name w:val="List Continue 3"/>
    <w:basedOn w:val="Normale"/>
    <w:uiPriority w:val="98"/>
    <w:semiHidden/>
    <w:rsid w:val="00CC61D2"/>
    <w:pPr>
      <w:spacing w:after="120"/>
      <w:ind w:left="849"/>
      <w:contextualSpacing/>
    </w:pPr>
  </w:style>
  <w:style w:type="paragraph" w:styleId="Elencocontinua4">
    <w:name w:val="List Continue 4"/>
    <w:basedOn w:val="Normale"/>
    <w:uiPriority w:val="98"/>
    <w:semiHidden/>
    <w:rsid w:val="00CC61D2"/>
    <w:pPr>
      <w:spacing w:after="120"/>
      <w:ind w:left="1132"/>
      <w:contextualSpacing/>
    </w:pPr>
  </w:style>
  <w:style w:type="paragraph" w:styleId="Elencocontinua5">
    <w:name w:val="List Continue 5"/>
    <w:basedOn w:val="Normale"/>
    <w:uiPriority w:val="98"/>
    <w:semiHidden/>
    <w:rsid w:val="00CC61D2"/>
    <w:pPr>
      <w:spacing w:after="120"/>
      <w:ind w:left="1415"/>
      <w:contextualSpacing/>
    </w:pPr>
  </w:style>
  <w:style w:type="paragraph" w:styleId="Numeroelenco">
    <w:name w:val="List Number"/>
    <w:basedOn w:val="Normale"/>
    <w:uiPriority w:val="98"/>
    <w:semiHidden/>
    <w:rsid w:val="00CC61D2"/>
    <w:pPr>
      <w:numPr>
        <w:numId w:val="14"/>
      </w:numPr>
      <w:contextualSpacing/>
    </w:pPr>
  </w:style>
  <w:style w:type="paragraph" w:styleId="Numeroelenco2">
    <w:name w:val="List Number 2"/>
    <w:basedOn w:val="Normale"/>
    <w:uiPriority w:val="98"/>
    <w:semiHidden/>
    <w:rsid w:val="00CC61D2"/>
    <w:pPr>
      <w:numPr>
        <w:numId w:val="15"/>
      </w:numPr>
      <w:contextualSpacing/>
    </w:pPr>
  </w:style>
  <w:style w:type="paragraph" w:styleId="Numeroelenco3">
    <w:name w:val="List Number 3"/>
    <w:basedOn w:val="Normale"/>
    <w:uiPriority w:val="98"/>
    <w:semiHidden/>
    <w:rsid w:val="00CC61D2"/>
    <w:pPr>
      <w:numPr>
        <w:numId w:val="16"/>
      </w:numPr>
      <w:contextualSpacing/>
    </w:pPr>
  </w:style>
  <w:style w:type="paragraph" w:styleId="Numeroelenco4">
    <w:name w:val="List Number 4"/>
    <w:basedOn w:val="Normale"/>
    <w:uiPriority w:val="98"/>
    <w:semiHidden/>
    <w:rsid w:val="00CC61D2"/>
    <w:pPr>
      <w:numPr>
        <w:numId w:val="17"/>
      </w:numPr>
      <w:contextualSpacing/>
    </w:pPr>
  </w:style>
  <w:style w:type="paragraph" w:styleId="Numeroelenco5">
    <w:name w:val="List Number 5"/>
    <w:basedOn w:val="Normale"/>
    <w:uiPriority w:val="98"/>
    <w:semiHidden/>
    <w:rsid w:val="00CC61D2"/>
    <w:pPr>
      <w:numPr>
        <w:numId w:val="18"/>
      </w:numPr>
      <w:contextualSpacing/>
    </w:pPr>
  </w:style>
  <w:style w:type="paragraph" w:styleId="Testomacro">
    <w:name w:val="macro"/>
    <w:link w:val="TestomacroCarattere"/>
    <w:uiPriority w:val="98"/>
    <w:semiHidden/>
    <w:rsid w:val="00CC61D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CC61D2"/>
    <w:rPr>
      <w:rFonts w:ascii="Consolas" w:eastAsiaTheme="minorEastAsia" w:hAnsi="Consolas" w:cs="Consolas"/>
      <w:sz w:val="20"/>
      <w:szCs w:val="20"/>
    </w:rPr>
  </w:style>
  <w:style w:type="table" w:styleId="Grigliamedia1">
    <w:name w:val="Medium Grid 1"/>
    <w:basedOn w:val="Tabellanormale"/>
    <w:uiPriority w:val="67"/>
    <w:semiHidden/>
    <w:rsid w:val="00CC61D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CC61D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CC61D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CC61D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CC61D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CC61D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CC61D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CC61D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CC61D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CC61D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CC61D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CC61D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CC61D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CC61D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CC61D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CC61D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CC61D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CC61D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CC61D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CC61D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CC61D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CC61D2"/>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CC61D2"/>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CC61D2"/>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CC61D2"/>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CC61D2"/>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CC61D2"/>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CC61D2"/>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CC61D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CC61D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CC61D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CC61D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CC61D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CC61D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CC61D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CC61D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CC61D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CC61D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CC61D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CC61D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CC61D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CC61D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CC61D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CC61D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CC61D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CC61D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CC61D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CC61D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CC61D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CC61D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CC61D2"/>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CC61D2"/>
    <w:rPr>
      <w:rFonts w:ascii="Times New Roman" w:hAnsi="Times New Roman" w:cs="Times New Roman"/>
    </w:rPr>
  </w:style>
  <w:style w:type="paragraph" w:styleId="Rientronormale">
    <w:name w:val="Normal Indent"/>
    <w:basedOn w:val="Normale"/>
    <w:uiPriority w:val="98"/>
    <w:semiHidden/>
    <w:rsid w:val="00CC61D2"/>
    <w:pPr>
      <w:ind w:left="720"/>
    </w:pPr>
  </w:style>
  <w:style w:type="paragraph" w:styleId="Intestazionenota">
    <w:name w:val="Note Heading"/>
    <w:basedOn w:val="Normale"/>
    <w:next w:val="Normale"/>
    <w:link w:val="IntestazionenotaCarattere"/>
    <w:uiPriority w:val="98"/>
    <w:semiHidden/>
    <w:rsid w:val="00CC61D2"/>
  </w:style>
  <w:style w:type="character" w:customStyle="1" w:styleId="IntestazionenotaCarattere">
    <w:name w:val="Intestazione nota Carattere"/>
    <w:basedOn w:val="Carpredefinitoparagrafo"/>
    <w:link w:val="Intestazionenota"/>
    <w:uiPriority w:val="98"/>
    <w:semiHidden/>
    <w:rsid w:val="00CC61D2"/>
    <w:rPr>
      <w:sz w:val="24"/>
      <w:szCs w:val="24"/>
      <w:lang w:val="en-GB"/>
    </w:rPr>
  </w:style>
  <w:style w:type="character" w:styleId="Testosegnaposto">
    <w:name w:val="Placeholder Text"/>
    <w:basedOn w:val="Carpredefinitoparagrafo"/>
    <w:uiPriority w:val="98"/>
    <w:semiHidden/>
    <w:rsid w:val="00CC61D2"/>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CC61D2"/>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CC61D2"/>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CC61D2"/>
  </w:style>
  <w:style w:type="character" w:customStyle="1" w:styleId="FormuladiaperturaCarattere">
    <w:name w:val="Formula di apertura Carattere"/>
    <w:basedOn w:val="Carpredefinitoparagrafo"/>
    <w:link w:val="Formuladiapertura"/>
    <w:uiPriority w:val="98"/>
    <w:semiHidden/>
    <w:rsid w:val="00CC61D2"/>
    <w:rPr>
      <w:sz w:val="24"/>
      <w:szCs w:val="24"/>
      <w:lang w:val="en-GB"/>
    </w:rPr>
  </w:style>
  <w:style w:type="paragraph" w:styleId="Firma">
    <w:name w:val="Signature"/>
    <w:basedOn w:val="Normale"/>
    <w:link w:val="FirmaCarattere"/>
    <w:uiPriority w:val="98"/>
    <w:semiHidden/>
    <w:rsid w:val="00CC61D2"/>
    <w:pPr>
      <w:ind w:left="4252"/>
    </w:pPr>
  </w:style>
  <w:style w:type="character" w:customStyle="1" w:styleId="FirmaCarattere">
    <w:name w:val="Firma Carattere"/>
    <w:basedOn w:val="Carpredefinitoparagrafo"/>
    <w:link w:val="Firma"/>
    <w:uiPriority w:val="98"/>
    <w:semiHidden/>
    <w:rsid w:val="00CC61D2"/>
    <w:rPr>
      <w:sz w:val="24"/>
      <w:szCs w:val="24"/>
      <w:lang w:val="en-GB"/>
    </w:rPr>
  </w:style>
  <w:style w:type="table" w:styleId="Tabellaeffetti3D1">
    <w:name w:val="Table 3D effects 1"/>
    <w:basedOn w:val="Tabellanormale"/>
    <w:uiPriority w:val="99"/>
    <w:semiHidden/>
    <w:unhideWhenUsed/>
    <w:rsid w:val="00CC61D2"/>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CC61D2"/>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CC61D2"/>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CC61D2"/>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CC61D2"/>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CC61D2"/>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CC61D2"/>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CC61D2"/>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CC61D2"/>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CC61D2"/>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CC61D2"/>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CC61D2"/>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CC61D2"/>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CC61D2"/>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CC61D2"/>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CC61D2"/>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CC61D2"/>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CC61D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CC61D2"/>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CC61D2"/>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CC61D2"/>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CC61D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CC61D2"/>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CC61D2"/>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CC61D2"/>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CC61D2"/>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CC61D2"/>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CC61D2"/>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CC61D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CC61D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CC61D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CC61D2"/>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CC61D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CC61D2"/>
    <w:pPr>
      <w:ind w:left="240" w:hanging="240"/>
    </w:pPr>
  </w:style>
  <w:style w:type="paragraph" w:styleId="Indicedellefigure">
    <w:name w:val="table of figures"/>
    <w:basedOn w:val="Normale"/>
    <w:next w:val="Normale"/>
    <w:uiPriority w:val="98"/>
    <w:semiHidden/>
    <w:rsid w:val="00CC61D2"/>
  </w:style>
  <w:style w:type="table" w:styleId="Tabellaprofessionale">
    <w:name w:val="Table Professional"/>
    <w:basedOn w:val="Tabellanormale"/>
    <w:uiPriority w:val="99"/>
    <w:semiHidden/>
    <w:unhideWhenUsed/>
    <w:rsid w:val="00CC61D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CC61D2"/>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CC61D2"/>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CC61D2"/>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CC61D2"/>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CC61D2"/>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CC61D2"/>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CC61D2"/>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CC61D2"/>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CC61D2"/>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CC61D2"/>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CC61D2"/>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CC61D2"/>
    <w:pPr>
      <w:spacing w:after="100"/>
      <w:ind w:left="1680"/>
    </w:pPr>
  </w:style>
  <w:style w:type="paragraph" w:styleId="Sommario9">
    <w:name w:val="toc 9"/>
    <w:basedOn w:val="Normale"/>
    <w:next w:val="Normale"/>
    <w:autoRedefine/>
    <w:uiPriority w:val="98"/>
    <w:semiHidden/>
    <w:rsid w:val="00CC61D2"/>
    <w:pPr>
      <w:spacing w:after="100"/>
      <w:ind w:left="1920"/>
    </w:pPr>
  </w:style>
  <w:style w:type="paragraph" w:customStyle="1" w:styleId="ECHRFooter">
    <w:name w:val="ECHR_Footer"/>
    <w:aliases w:val="Footer_ECHR"/>
    <w:basedOn w:val="Pidipagina"/>
    <w:uiPriority w:val="57"/>
    <w:semiHidden/>
    <w:rsid w:val="0064393B"/>
    <w:rPr>
      <w:sz w:val="8"/>
    </w:rPr>
  </w:style>
  <w:style w:type="paragraph" w:customStyle="1" w:styleId="FooterLine">
    <w:name w:val="_Footer_Line"/>
    <w:aliases w:val="Footer_Line"/>
    <w:basedOn w:val="Normale"/>
    <w:next w:val="Footer"/>
    <w:uiPriority w:val="57"/>
    <w:semiHidden/>
    <w:rsid w:val="00CC61D2"/>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CC61D2"/>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CC61D2"/>
    <w:pPr>
      <w:keepNext/>
      <w:keepLines/>
      <w:spacing w:before="1320" w:after="280"/>
      <w:contextualSpacing/>
      <w:jc w:val="center"/>
    </w:pPr>
    <w:rPr>
      <w:b/>
    </w:rPr>
  </w:style>
  <w:style w:type="paragraph" w:customStyle="1" w:styleId="DecList">
    <w:name w:val="Dec_List"/>
    <w:aliases w:val="_List"/>
    <w:basedOn w:val="JuList"/>
    <w:uiPriority w:val="22"/>
    <w:rsid w:val="00CC61D2"/>
    <w:pPr>
      <w:numPr>
        <w:numId w:val="0"/>
      </w:numPr>
      <w:ind w:left="284"/>
    </w:pPr>
  </w:style>
  <w:style w:type="paragraph" w:customStyle="1" w:styleId="ECHRBullet1">
    <w:name w:val="ECHR_Bullet_1"/>
    <w:aliases w:val="_Bul_1"/>
    <w:basedOn w:val="NormalJustified"/>
    <w:uiPriority w:val="23"/>
    <w:semiHidden/>
    <w:qFormat/>
    <w:rsid w:val="00CC61D2"/>
    <w:pPr>
      <w:numPr>
        <w:numId w:val="6"/>
      </w:numPr>
      <w:spacing w:before="60" w:after="60"/>
    </w:pPr>
  </w:style>
  <w:style w:type="paragraph" w:customStyle="1" w:styleId="ECHRBullet2">
    <w:name w:val="ECHR_Bullet_2"/>
    <w:aliases w:val="_Bul_2"/>
    <w:basedOn w:val="ECHRBullet1"/>
    <w:uiPriority w:val="23"/>
    <w:semiHidden/>
    <w:rsid w:val="00CC61D2"/>
    <w:pPr>
      <w:numPr>
        <w:ilvl w:val="1"/>
      </w:numPr>
    </w:pPr>
  </w:style>
  <w:style w:type="paragraph" w:customStyle="1" w:styleId="ECHRBullet3">
    <w:name w:val="ECHR_Bullet_3"/>
    <w:aliases w:val="_Bul_3"/>
    <w:basedOn w:val="ECHRBullet2"/>
    <w:uiPriority w:val="23"/>
    <w:semiHidden/>
    <w:rsid w:val="00CC61D2"/>
    <w:pPr>
      <w:numPr>
        <w:ilvl w:val="2"/>
      </w:numPr>
    </w:pPr>
  </w:style>
  <w:style w:type="paragraph" w:customStyle="1" w:styleId="ECHRBullet4">
    <w:name w:val="ECHR_Bullet_4"/>
    <w:aliases w:val="_Bul_4"/>
    <w:basedOn w:val="ECHRBullet3"/>
    <w:uiPriority w:val="23"/>
    <w:semiHidden/>
    <w:rsid w:val="00CC61D2"/>
    <w:pPr>
      <w:numPr>
        <w:ilvl w:val="3"/>
      </w:numPr>
    </w:pPr>
  </w:style>
  <w:style w:type="paragraph" w:customStyle="1" w:styleId="ECHRConfidential">
    <w:name w:val="ECHR_Confidential"/>
    <w:aliases w:val="_Confidential"/>
    <w:basedOn w:val="Normale"/>
    <w:next w:val="Normale"/>
    <w:uiPriority w:val="42"/>
    <w:semiHidden/>
    <w:qFormat/>
    <w:rsid w:val="00CC61D2"/>
    <w:pPr>
      <w:jc w:val="right"/>
    </w:pPr>
    <w:rPr>
      <w:color w:val="C00000"/>
      <w:sz w:val="20"/>
    </w:rPr>
  </w:style>
  <w:style w:type="paragraph" w:customStyle="1" w:styleId="ECHRDecisionBody">
    <w:name w:val="ECHR_Decision_Body"/>
    <w:aliases w:val="_Decision_Body"/>
    <w:basedOn w:val="NormalJustified"/>
    <w:uiPriority w:val="54"/>
    <w:semiHidden/>
    <w:rsid w:val="00CC61D2"/>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CC61D2"/>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CC61D2"/>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CC61D2"/>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CC61D2"/>
    <w:pPr>
      <w:jc w:val="right"/>
    </w:pPr>
    <w:rPr>
      <w:sz w:val="20"/>
    </w:rPr>
  </w:style>
  <w:style w:type="paragraph" w:customStyle="1" w:styleId="ECHRHeaderRefIt">
    <w:name w:val="ECHR_Header_Ref_It"/>
    <w:aliases w:val="_Ref_Ital"/>
    <w:basedOn w:val="Normale"/>
    <w:next w:val="ECHRHeaderDate"/>
    <w:uiPriority w:val="43"/>
    <w:semiHidden/>
    <w:qFormat/>
    <w:rsid w:val="00CC61D2"/>
    <w:pPr>
      <w:jc w:val="right"/>
    </w:pPr>
    <w:rPr>
      <w:i/>
      <w:sz w:val="20"/>
    </w:rPr>
  </w:style>
  <w:style w:type="paragraph" w:customStyle="1" w:styleId="ECHRHeading9">
    <w:name w:val="ECHR_Heading_9"/>
    <w:aliases w:val="_Head_9"/>
    <w:basedOn w:val="Titolo9"/>
    <w:uiPriority w:val="17"/>
    <w:semiHidden/>
    <w:rsid w:val="00CC61D2"/>
    <w:pPr>
      <w:keepNext/>
      <w:keepLines/>
      <w:numPr>
        <w:ilvl w:val="8"/>
        <w:numId w:val="2"/>
      </w:numPr>
      <w:spacing w:before="100" w:beforeAutospacing="1"/>
      <w:contextualSpacing/>
    </w:pPr>
    <w:rPr>
      <w:i w:val="0"/>
      <w:sz w:val="18"/>
    </w:rPr>
  </w:style>
  <w:style w:type="paragraph" w:customStyle="1" w:styleId="ECHRLine">
    <w:name w:val="ECHR_Line"/>
    <w:aliases w:val="_Line"/>
    <w:basedOn w:val="NormalJustified"/>
    <w:next w:val="Normale"/>
    <w:uiPriority w:val="46"/>
    <w:semiHidden/>
    <w:rsid w:val="00CC61D2"/>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CC61D2"/>
    <w:pPr>
      <w:numPr>
        <w:numId w:val="8"/>
      </w:numPr>
      <w:spacing w:before="60" w:after="60"/>
    </w:pPr>
  </w:style>
  <w:style w:type="paragraph" w:customStyle="1" w:styleId="ECHRNumberedList2">
    <w:name w:val="ECHR_Numbered_List_2"/>
    <w:aliases w:val="_Num_2"/>
    <w:basedOn w:val="ECHRNumberedList1"/>
    <w:uiPriority w:val="23"/>
    <w:semiHidden/>
    <w:rsid w:val="00CC61D2"/>
    <w:pPr>
      <w:numPr>
        <w:ilvl w:val="1"/>
      </w:numPr>
    </w:pPr>
  </w:style>
  <w:style w:type="paragraph" w:customStyle="1" w:styleId="ECHRNumberedList3">
    <w:name w:val="ECHR_Numbered_List_3"/>
    <w:aliases w:val="_Num_3"/>
    <w:basedOn w:val="ECHRNumberedList2"/>
    <w:uiPriority w:val="23"/>
    <w:semiHidden/>
    <w:rsid w:val="00CC61D2"/>
    <w:pPr>
      <w:numPr>
        <w:ilvl w:val="2"/>
      </w:numPr>
    </w:pPr>
  </w:style>
  <w:style w:type="paragraph" w:customStyle="1" w:styleId="ECHRParaHanging">
    <w:name w:val="ECHR_Para_Hanging"/>
    <w:aliases w:val="_Hanging"/>
    <w:basedOn w:val="Normale"/>
    <w:uiPriority w:val="8"/>
    <w:semiHidden/>
    <w:qFormat/>
    <w:rsid w:val="00CC61D2"/>
    <w:pPr>
      <w:ind w:left="567" w:hanging="567"/>
      <w:jc w:val="both"/>
    </w:pPr>
  </w:style>
  <w:style w:type="paragraph" w:customStyle="1" w:styleId="ECHRParaIndent">
    <w:name w:val="ECHR_Para_Indent"/>
    <w:aliases w:val="_Indent"/>
    <w:basedOn w:val="Normale"/>
    <w:uiPriority w:val="7"/>
    <w:semiHidden/>
    <w:qFormat/>
    <w:rsid w:val="00CC61D2"/>
    <w:pPr>
      <w:spacing w:before="120" w:after="120"/>
      <w:ind w:left="284"/>
      <w:jc w:val="both"/>
    </w:pPr>
  </w:style>
  <w:style w:type="character" w:customStyle="1" w:styleId="ECHRRed">
    <w:name w:val="ECHR_Red"/>
    <w:aliases w:val="_Red"/>
    <w:basedOn w:val="Carpredefinitoparagrafo"/>
    <w:uiPriority w:val="15"/>
    <w:semiHidden/>
    <w:qFormat/>
    <w:rsid w:val="00CC61D2"/>
    <w:rPr>
      <w:color w:val="C00000" w:themeColor="accent2"/>
    </w:rPr>
  </w:style>
  <w:style w:type="paragraph" w:customStyle="1" w:styleId="ECHRSpacer">
    <w:name w:val="ECHR_Spacer"/>
    <w:aliases w:val="_Spacer"/>
    <w:basedOn w:val="Normale"/>
    <w:uiPriority w:val="45"/>
    <w:semiHidden/>
    <w:rsid w:val="00CC61D2"/>
    <w:rPr>
      <w:sz w:val="4"/>
    </w:rPr>
  </w:style>
  <w:style w:type="table" w:customStyle="1" w:styleId="ECHRTable2">
    <w:name w:val="ECHR_Table_2"/>
    <w:basedOn w:val="Tabellanormale"/>
    <w:uiPriority w:val="99"/>
    <w:rsid w:val="00CC61D2"/>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CC61D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CC61D2"/>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CC61D2"/>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CC61D2"/>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CC61D2"/>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CC61D2"/>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CC61D2"/>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CC61D2"/>
    <w:pPr>
      <w:outlineLvl w:val="0"/>
    </w:pPr>
  </w:style>
  <w:style w:type="paragraph" w:customStyle="1" w:styleId="ECHRTitleTOC1">
    <w:name w:val="ECHR_Title_TOC_1"/>
    <w:aliases w:val="_Title_L_TOC"/>
    <w:basedOn w:val="ECHRTitle1"/>
    <w:next w:val="Normale"/>
    <w:uiPriority w:val="27"/>
    <w:semiHidden/>
    <w:qFormat/>
    <w:rsid w:val="00CC61D2"/>
    <w:pPr>
      <w:outlineLvl w:val="0"/>
    </w:pPr>
  </w:style>
  <w:style w:type="character" w:customStyle="1" w:styleId="JuParaChar">
    <w:name w:val="Ju_Para Char"/>
    <w:aliases w:val="_Para Char"/>
    <w:link w:val="JuPara"/>
    <w:uiPriority w:val="4"/>
    <w:rsid w:val="00780624"/>
    <w:rPr>
      <w:sz w:val="24"/>
      <w:szCs w:val="24"/>
      <w:lang w:val="en-GB"/>
    </w:rPr>
  </w:style>
  <w:style w:type="character" w:customStyle="1" w:styleId="JuH1Char">
    <w:name w:val="Ju_H_1. Char"/>
    <w:basedOn w:val="Carpredefinitoparagrafo"/>
    <w:link w:val="JuH1"/>
    <w:uiPriority w:val="17"/>
    <w:rsid w:val="00780624"/>
    <w:rPr>
      <w:rFonts w:asciiTheme="majorHAnsi" w:eastAsiaTheme="majorEastAsia" w:hAnsiTheme="majorHAnsi" w:cstheme="majorBidi"/>
      <w:bCs/>
      <w:i/>
      <w:iCs/>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485B5-8E68-4AC0-8C02-AA7677614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A28C712-DE15-4D1D-B502-A9666D6768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635CE93-DE80-41C3-A5CC-F38C46B90443}">
  <ds:schemaRefs>
    <ds:schemaRef ds:uri="http://schemas.microsoft.com/sharepoint/v3/contenttype/forms"/>
  </ds:schemaRefs>
</ds:datastoreItem>
</file>

<file path=customXml/itemProps4.xml><?xml version="1.0" encoding="utf-8"?>
<ds:datastoreItem xmlns:ds="http://schemas.openxmlformats.org/officeDocument/2006/customXml" ds:itemID="{558610A3-C96A-48EA-8181-1EE9BE41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3166</Words>
  <Characters>18052</Characters>
  <Application>Microsoft Office Word</Application>
  <DocSecurity>0</DocSecurity>
  <Lines>150</Lines>
  <Paragraphs>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21176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2020-04-14T14:22:00Z</dcterms:created>
  <dcterms:modified xsi:type="dcterms:W3CDTF">2020-04-15T11:28:00Z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24888/03</vt:lpwstr>
  </property>
  <property fmtid="{D5CDD505-2E9C-101B-9397-08002B2CF9AE}" pid="4" name="CASEID">
    <vt:lpwstr>168335</vt:lpwstr>
  </property>
  <property fmtid="{D5CDD505-2E9C-101B-9397-08002B2CF9AE}" pid="5" name="ContentTypeId">
    <vt:lpwstr>0x010100558EB02BDB9E204AB350EDD385B68E10</vt:lpwstr>
  </property>
</Properties>
</file>